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8965" w14:textId="77777777" w:rsidR="00EC19B1" w:rsidRPr="00AC2DA9" w:rsidRDefault="00EC19B1" w:rsidP="00EC19B1">
      <w:pPr>
        <w:pStyle w:val="Header"/>
        <w:tabs>
          <w:tab w:val="left" w:pos="720"/>
          <w:tab w:val="left" w:pos="1440"/>
          <w:tab w:val="left" w:pos="2160"/>
          <w:tab w:val="left" w:pos="2880"/>
          <w:tab w:val="left" w:pos="3600"/>
        </w:tabs>
        <w:rPr>
          <w:b/>
        </w:rPr>
      </w:pPr>
      <w:r w:rsidRPr="00AC2DA9">
        <w:rPr>
          <w:b/>
        </w:rPr>
        <w:t>18</w:t>
      </w:r>
      <w:r w:rsidRPr="00AC2DA9">
        <w:rPr>
          <w:b/>
        </w:rPr>
        <w:tab/>
      </w:r>
      <w:r w:rsidRPr="00AC2DA9">
        <w:rPr>
          <w:b/>
        </w:rPr>
        <w:tab/>
        <w:t>DEPARTMENT OF ADMINISTRATIVE AND FINANCIAL SERVICES</w:t>
      </w:r>
    </w:p>
    <w:p w14:paraId="6F0BDB27" w14:textId="77777777" w:rsidR="00EC19B1" w:rsidRPr="00AC2DA9" w:rsidRDefault="00EC19B1" w:rsidP="00EC19B1">
      <w:pPr>
        <w:pStyle w:val="Header"/>
        <w:tabs>
          <w:tab w:val="left" w:pos="720"/>
          <w:tab w:val="left" w:pos="1440"/>
          <w:tab w:val="left" w:pos="2160"/>
          <w:tab w:val="left" w:pos="2880"/>
          <w:tab w:val="left" w:pos="3600"/>
        </w:tabs>
        <w:rPr>
          <w:b/>
        </w:rPr>
      </w:pPr>
    </w:p>
    <w:p w14:paraId="34E363ED" w14:textId="77777777" w:rsidR="00EC19B1" w:rsidRPr="00AC2DA9" w:rsidRDefault="00EC19B1" w:rsidP="00EC19B1">
      <w:pPr>
        <w:pStyle w:val="Header"/>
        <w:tabs>
          <w:tab w:val="left" w:pos="720"/>
          <w:tab w:val="left" w:pos="1440"/>
          <w:tab w:val="left" w:pos="2160"/>
          <w:tab w:val="left" w:pos="2880"/>
          <w:tab w:val="left" w:pos="3600"/>
        </w:tabs>
        <w:rPr>
          <w:b/>
        </w:rPr>
      </w:pPr>
      <w:r w:rsidRPr="00AC2DA9">
        <w:rPr>
          <w:b/>
        </w:rPr>
        <w:t>125</w:t>
      </w:r>
      <w:r w:rsidRPr="00AC2DA9">
        <w:rPr>
          <w:b/>
        </w:rPr>
        <w:tab/>
      </w:r>
      <w:r w:rsidRPr="00AC2DA9">
        <w:rPr>
          <w:b/>
        </w:rPr>
        <w:tab/>
        <w:t>BUREAU OF REVENUE SERVICES</w:t>
      </w:r>
    </w:p>
    <w:p w14:paraId="127D3F36" w14:textId="77777777" w:rsidR="00EC19B1" w:rsidRPr="00AC2DA9" w:rsidRDefault="00EC19B1" w:rsidP="00EC19B1">
      <w:pPr>
        <w:pStyle w:val="Header"/>
        <w:tabs>
          <w:tab w:val="left" w:pos="720"/>
          <w:tab w:val="left" w:pos="1440"/>
          <w:tab w:val="left" w:pos="2160"/>
          <w:tab w:val="left" w:pos="2880"/>
          <w:tab w:val="left" w:pos="3600"/>
        </w:tabs>
        <w:rPr>
          <w:b/>
        </w:rPr>
      </w:pPr>
    </w:p>
    <w:p w14:paraId="69EEB25D" w14:textId="77777777" w:rsidR="00EC19B1" w:rsidRPr="00AC2DA9" w:rsidRDefault="00EC19B1" w:rsidP="00EC19B1">
      <w:pPr>
        <w:pStyle w:val="Header"/>
        <w:tabs>
          <w:tab w:val="left" w:pos="720"/>
          <w:tab w:val="left" w:pos="1440"/>
          <w:tab w:val="left" w:pos="2160"/>
          <w:tab w:val="left" w:pos="2880"/>
          <w:tab w:val="left" w:pos="3600"/>
        </w:tabs>
        <w:rPr>
          <w:b/>
        </w:rPr>
      </w:pPr>
      <w:r w:rsidRPr="00AC2DA9">
        <w:rPr>
          <w:b/>
        </w:rPr>
        <w:t>Chapter 60</w:t>
      </w:r>
      <w:r w:rsidR="0056269F" w:rsidRPr="00AC2DA9">
        <w:rPr>
          <w:b/>
        </w:rPr>
        <w:t>3</w:t>
      </w:r>
      <w:r w:rsidRPr="00AC2DA9">
        <w:rPr>
          <w:b/>
        </w:rPr>
        <w:t>:</w:t>
      </w:r>
      <w:r w:rsidRPr="00AC2DA9">
        <w:rPr>
          <w:b/>
        </w:rPr>
        <w:tab/>
      </w:r>
      <w:r w:rsidR="0056269F" w:rsidRPr="00AC2DA9">
        <w:rPr>
          <w:b/>
        </w:rPr>
        <w:t xml:space="preserve">MAINE </w:t>
      </w:r>
      <w:r w:rsidRPr="00AC2DA9">
        <w:rPr>
          <w:b/>
        </w:rPr>
        <w:t>ESTATE TAX</w:t>
      </w:r>
      <w:r w:rsidR="0056269F" w:rsidRPr="00AC2DA9">
        <w:rPr>
          <w:b/>
        </w:rPr>
        <w:t xml:space="preserve"> AFTER 2012</w:t>
      </w:r>
    </w:p>
    <w:p w14:paraId="053D7906" w14:textId="77777777" w:rsidR="00EC19B1" w:rsidRPr="00AC2DA9" w:rsidRDefault="00EC19B1" w:rsidP="00EC19B1">
      <w:pPr>
        <w:pStyle w:val="DefaultText"/>
        <w:pBdr>
          <w:bottom w:val="single" w:sz="4" w:space="1" w:color="auto"/>
        </w:pBdr>
        <w:tabs>
          <w:tab w:val="left" w:pos="720"/>
          <w:tab w:val="left" w:pos="1440"/>
          <w:tab w:val="left" w:pos="2160"/>
          <w:tab w:val="left" w:pos="2880"/>
          <w:tab w:val="left" w:pos="3600"/>
        </w:tabs>
        <w:jc w:val="center"/>
        <w:outlineLvl w:val="0"/>
        <w:rPr>
          <w:b/>
          <w:bCs/>
          <w:szCs w:val="24"/>
        </w:rPr>
      </w:pPr>
    </w:p>
    <w:p w14:paraId="2258897D" w14:textId="77777777" w:rsidR="00EC19B1" w:rsidRPr="00AC2DA9" w:rsidRDefault="00EC19B1" w:rsidP="00EC19B1">
      <w:pPr>
        <w:tabs>
          <w:tab w:val="left" w:pos="720"/>
          <w:tab w:val="left" w:pos="1440"/>
          <w:tab w:val="left" w:pos="2160"/>
          <w:tab w:val="left" w:pos="2880"/>
          <w:tab w:val="left" w:pos="3600"/>
        </w:tabs>
      </w:pPr>
    </w:p>
    <w:p w14:paraId="399F3DA1" w14:textId="77777777" w:rsidR="00EC19B1" w:rsidRPr="00AC2DA9" w:rsidRDefault="00EC19B1" w:rsidP="00EC19B1">
      <w:pPr>
        <w:pStyle w:val="Header"/>
        <w:tabs>
          <w:tab w:val="left" w:pos="720"/>
          <w:tab w:val="left" w:pos="1440"/>
          <w:tab w:val="left" w:pos="2160"/>
          <w:tab w:val="left" w:pos="2880"/>
          <w:tab w:val="left" w:pos="3600"/>
        </w:tabs>
      </w:pPr>
      <w:r w:rsidRPr="00AC2DA9">
        <w:rPr>
          <w:b/>
        </w:rPr>
        <w:t xml:space="preserve">SUMMARY: </w:t>
      </w:r>
      <w:r w:rsidRPr="00AC2DA9">
        <w:t>This rule explains in further detail the estate tax laws of the State of Maine</w:t>
      </w:r>
      <w:r w:rsidR="0056269F" w:rsidRPr="00AC2DA9">
        <w:t xml:space="preserve"> for estates of decedents dying on or after January 1, 2013</w:t>
      </w:r>
      <w:r w:rsidRPr="00AC2DA9">
        <w:t>.</w:t>
      </w:r>
    </w:p>
    <w:p w14:paraId="2D0C0C53" w14:textId="77777777" w:rsidR="00EC19B1" w:rsidRPr="00AC2DA9" w:rsidRDefault="00EC19B1" w:rsidP="00EC19B1">
      <w:pPr>
        <w:pStyle w:val="Header"/>
        <w:pBdr>
          <w:bottom w:val="single" w:sz="4" w:space="1" w:color="auto"/>
        </w:pBdr>
        <w:tabs>
          <w:tab w:val="left" w:pos="720"/>
          <w:tab w:val="left" w:pos="1440"/>
          <w:tab w:val="left" w:pos="2160"/>
          <w:tab w:val="left" w:pos="2880"/>
          <w:tab w:val="left" w:pos="3600"/>
        </w:tabs>
      </w:pPr>
    </w:p>
    <w:p w14:paraId="4241A6E4" w14:textId="77777777" w:rsidR="00EC19B1" w:rsidRPr="00AC2DA9" w:rsidRDefault="00EC19B1" w:rsidP="00EC19B1">
      <w:pPr>
        <w:pStyle w:val="Header"/>
        <w:tabs>
          <w:tab w:val="left" w:pos="720"/>
          <w:tab w:val="left" w:pos="1440"/>
          <w:tab w:val="left" w:pos="2160"/>
          <w:tab w:val="left" w:pos="2880"/>
          <w:tab w:val="left" w:pos="3600"/>
        </w:tabs>
        <w:rPr>
          <w:b/>
        </w:rPr>
      </w:pPr>
    </w:p>
    <w:p w14:paraId="6BAC5164" w14:textId="77777777" w:rsidR="00EC19B1" w:rsidRPr="00AC2DA9" w:rsidRDefault="00EC19B1" w:rsidP="00EC19B1">
      <w:pPr>
        <w:pStyle w:val="Header"/>
        <w:tabs>
          <w:tab w:val="left" w:pos="720"/>
          <w:tab w:val="left" w:pos="1440"/>
          <w:tab w:val="left" w:pos="2160"/>
          <w:tab w:val="left" w:pos="2880"/>
          <w:tab w:val="left" w:pos="3600"/>
        </w:tabs>
        <w:rPr>
          <w:b/>
        </w:rPr>
      </w:pPr>
    </w:p>
    <w:p w14:paraId="4CBB5DFE" w14:textId="77777777" w:rsidR="00EC19B1" w:rsidRPr="00AC2DA9" w:rsidRDefault="00EC19B1" w:rsidP="00EC19B1">
      <w:pPr>
        <w:pStyle w:val="DefaultText"/>
        <w:tabs>
          <w:tab w:val="left" w:pos="720"/>
          <w:tab w:val="left" w:pos="1440"/>
          <w:tab w:val="left" w:pos="2160"/>
          <w:tab w:val="left" w:pos="2880"/>
          <w:tab w:val="left" w:pos="3600"/>
        </w:tabs>
        <w:jc w:val="both"/>
        <w:outlineLvl w:val="0"/>
        <w:rPr>
          <w:rStyle w:val="InitialStyle"/>
          <w:rFonts w:ascii="Times New Roman" w:hAnsi="Times New Roman"/>
          <w:szCs w:val="24"/>
        </w:rPr>
      </w:pPr>
      <w:r w:rsidRPr="00AC2DA9">
        <w:rPr>
          <w:rStyle w:val="InitialStyle"/>
          <w:rFonts w:ascii="Times New Roman" w:hAnsi="Times New Roman"/>
          <w:b/>
          <w:bCs/>
          <w:szCs w:val="24"/>
        </w:rPr>
        <w:t>Outline of Contents:</w:t>
      </w:r>
    </w:p>
    <w:p w14:paraId="4B11AC12" w14:textId="77777777" w:rsidR="00EC19B1" w:rsidRPr="00AC2DA9"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p>
    <w:p w14:paraId="0002FD5E" w14:textId="77777777" w:rsidR="00EC19B1" w:rsidRPr="00AC2DA9"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AC2DA9">
        <w:rPr>
          <w:rStyle w:val="InitialStyle"/>
          <w:rFonts w:ascii="Times New Roman" w:hAnsi="Times New Roman"/>
          <w:bCs/>
          <w:szCs w:val="24"/>
        </w:rPr>
        <w:t>.</w:t>
      </w:r>
      <w:r w:rsidRPr="00AC2DA9">
        <w:rPr>
          <w:rStyle w:val="InitialStyle"/>
          <w:rFonts w:ascii="Times New Roman" w:hAnsi="Times New Roman"/>
          <w:szCs w:val="24"/>
        </w:rPr>
        <w:t>01</w:t>
      </w:r>
      <w:r w:rsidRPr="00AC2DA9">
        <w:rPr>
          <w:rStyle w:val="InitialStyle"/>
          <w:rFonts w:ascii="Times New Roman" w:hAnsi="Times New Roman"/>
          <w:szCs w:val="24"/>
        </w:rPr>
        <w:tab/>
      </w:r>
      <w:r w:rsidRPr="00AC2DA9">
        <w:rPr>
          <w:szCs w:val="24"/>
        </w:rPr>
        <w:t>Definitions</w:t>
      </w:r>
    </w:p>
    <w:p w14:paraId="0DBEB5ED" w14:textId="77777777" w:rsidR="00EC19B1" w:rsidRPr="00AC2DA9"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AC2DA9">
        <w:rPr>
          <w:rStyle w:val="InitialStyle"/>
          <w:rFonts w:ascii="Times New Roman" w:hAnsi="Times New Roman"/>
          <w:szCs w:val="24"/>
        </w:rPr>
        <w:t>.02</w:t>
      </w:r>
      <w:r w:rsidRPr="00AC2DA9">
        <w:rPr>
          <w:rStyle w:val="InitialStyle"/>
          <w:rFonts w:ascii="Times New Roman" w:hAnsi="Times New Roman"/>
          <w:szCs w:val="24"/>
        </w:rPr>
        <w:tab/>
        <w:t>Federal law</w:t>
      </w:r>
      <w:r w:rsidR="003E1569" w:rsidRPr="00AC2DA9">
        <w:rPr>
          <w:rStyle w:val="InitialStyle"/>
          <w:rFonts w:ascii="Times New Roman" w:hAnsi="Times New Roman"/>
          <w:szCs w:val="24"/>
        </w:rPr>
        <w:t>s</w:t>
      </w:r>
    </w:p>
    <w:p w14:paraId="6855F01B" w14:textId="77777777" w:rsidR="00EC19B1" w:rsidRPr="00AC2DA9"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AC2DA9">
        <w:rPr>
          <w:rStyle w:val="InitialStyle"/>
          <w:rFonts w:ascii="Times New Roman" w:hAnsi="Times New Roman"/>
          <w:szCs w:val="24"/>
        </w:rPr>
        <w:t>.03</w:t>
      </w:r>
      <w:r w:rsidRPr="00AC2DA9">
        <w:rPr>
          <w:rStyle w:val="InitialStyle"/>
          <w:rFonts w:ascii="Times New Roman" w:hAnsi="Times New Roman"/>
          <w:szCs w:val="24"/>
        </w:rPr>
        <w:tab/>
      </w:r>
      <w:r w:rsidRPr="00AC2DA9">
        <w:rPr>
          <w:szCs w:val="24"/>
        </w:rPr>
        <w:t>Filing requirements</w:t>
      </w:r>
    </w:p>
    <w:p w14:paraId="43E92D83" w14:textId="77777777" w:rsidR="00EC19B1" w:rsidRPr="00AC2DA9"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AC2DA9">
        <w:rPr>
          <w:rStyle w:val="InitialStyle"/>
          <w:rFonts w:ascii="Times New Roman" w:hAnsi="Times New Roman"/>
          <w:szCs w:val="24"/>
        </w:rPr>
        <w:t>.04</w:t>
      </w:r>
      <w:r w:rsidRPr="00AC2DA9">
        <w:rPr>
          <w:rStyle w:val="InitialStyle"/>
          <w:rFonts w:ascii="Times New Roman" w:hAnsi="Times New Roman"/>
          <w:szCs w:val="24"/>
        </w:rPr>
        <w:tab/>
        <w:t>Administrative expenses</w:t>
      </w:r>
    </w:p>
    <w:p w14:paraId="6383D9BF" w14:textId="77777777" w:rsidR="00EC19B1" w:rsidRPr="00AC2DA9" w:rsidRDefault="00EC19B1"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AC2DA9">
        <w:rPr>
          <w:rStyle w:val="InitialStyle"/>
          <w:rFonts w:ascii="Times New Roman" w:hAnsi="Times New Roman"/>
          <w:szCs w:val="24"/>
        </w:rPr>
        <w:t>.05</w:t>
      </w:r>
      <w:r w:rsidRPr="00AC2DA9">
        <w:rPr>
          <w:rStyle w:val="InitialStyle"/>
          <w:rFonts w:ascii="Times New Roman" w:hAnsi="Times New Roman"/>
          <w:szCs w:val="24"/>
        </w:rPr>
        <w:tab/>
        <w:t>Gifts</w:t>
      </w:r>
    </w:p>
    <w:p w14:paraId="54456873" w14:textId="77777777" w:rsidR="00EC19B1" w:rsidRPr="00AC2DA9" w:rsidRDefault="00EC19B1" w:rsidP="00EC19B1">
      <w:pPr>
        <w:pStyle w:val="DefaultText"/>
        <w:tabs>
          <w:tab w:val="left" w:pos="720"/>
          <w:tab w:val="left" w:pos="1440"/>
          <w:tab w:val="left" w:pos="2160"/>
          <w:tab w:val="left" w:pos="2880"/>
          <w:tab w:val="left" w:pos="3600"/>
        </w:tabs>
        <w:jc w:val="both"/>
        <w:rPr>
          <w:szCs w:val="24"/>
        </w:rPr>
      </w:pPr>
      <w:r w:rsidRPr="00AC2DA9">
        <w:rPr>
          <w:szCs w:val="24"/>
        </w:rPr>
        <w:t>.06</w:t>
      </w:r>
      <w:r w:rsidRPr="00AC2DA9">
        <w:rPr>
          <w:szCs w:val="24"/>
        </w:rPr>
        <w:tab/>
        <w:t>Valuation</w:t>
      </w:r>
    </w:p>
    <w:p w14:paraId="05C4EB7B" w14:textId="77777777" w:rsidR="00EC19B1" w:rsidRPr="00AC2DA9" w:rsidRDefault="00EC19B1" w:rsidP="00EC19B1">
      <w:pPr>
        <w:pStyle w:val="DefaultText"/>
        <w:tabs>
          <w:tab w:val="left" w:pos="720"/>
          <w:tab w:val="left" w:pos="1440"/>
          <w:tab w:val="left" w:pos="2160"/>
          <w:tab w:val="left" w:pos="2880"/>
          <w:tab w:val="left" w:pos="3600"/>
        </w:tabs>
        <w:jc w:val="both"/>
        <w:rPr>
          <w:szCs w:val="24"/>
        </w:rPr>
      </w:pPr>
      <w:r w:rsidRPr="00AC2DA9">
        <w:rPr>
          <w:szCs w:val="24"/>
        </w:rPr>
        <w:t>.07</w:t>
      </w:r>
      <w:r w:rsidRPr="00AC2DA9">
        <w:rPr>
          <w:szCs w:val="24"/>
        </w:rPr>
        <w:tab/>
        <w:t xml:space="preserve">Sourcing </w:t>
      </w:r>
    </w:p>
    <w:p w14:paraId="6E8A9024" w14:textId="77777777" w:rsidR="00C93A09" w:rsidRPr="00AC2DA9" w:rsidRDefault="00EC19B1" w:rsidP="00EC19B1">
      <w:pPr>
        <w:pStyle w:val="DefaultText"/>
        <w:tabs>
          <w:tab w:val="left" w:pos="720"/>
          <w:tab w:val="left" w:pos="1440"/>
          <w:tab w:val="left" w:pos="2160"/>
          <w:tab w:val="left" w:pos="2880"/>
          <w:tab w:val="left" w:pos="3600"/>
        </w:tabs>
        <w:jc w:val="both"/>
        <w:rPr>
          <w:szCs w:val="24"/>
        </w:rPr>
      </w:pPr>
      <w:r w:rsidRPr="00AC2DA9">
        <w:rPr>
          <w:szCs w:val="24"/>
        </w:rPr>
        <w:t>.08</w:t>
      </w:r>
      <w:r w:rsidRPr="00AC2DA9">
        <w:rPr>
          <w:szCs w:val="24"/>
        </w:rPr>
        <w:tab/>
      </w:r>
      <w:r w:rsidR="00C93A09" w:rsidRPr="00AC2DA9">
        <w:rPr>
          <w:szCs w:val="24"/>
        </w:rPr>
        <w:t>Domicile</w:t>
      </w:r>
    </w:p>
    <w:p w14:paraId="54C8B9B3" w14:textId="77777777" w:rsidR="00EC19B1" w:rsidRPr="00AC2DA9" w:rsidRDefault="00C93A09" w:rsidP="00EC19B1">
      <w:pPr>
        <w:pStyle w:val="DefaultText"/>
        <w:tabs>
          <w:tab w:val="left" w:pos="720"/>
          <w:tab w:val="left" w:pos="1440"/>
          <w:tab w:val="left" w:pos="2160"/>
          <w:tab w:val="left" w:pos="2880"/>
          <w:tab w:val="left" w:pos="3600"/>
        </w:tabs>
        <w:jc w:val="both"/>
        <w:rPr>
          <w:rStyle w:val="InitialStyle"/>
          <w:rFonts w:ascii="Times New Roman" w:hAnsi="Times New Roman"/>
          <w:szCs w:val="24"/>
        </w:rPr>
      </w:pPr>
      <w:r w:rsidRPr="00AC2DA9">
        <w:rPr>
          <w:rStyle w:val="InitialStyle"/>
          <w:rFonts w:ascii="Times New Roman" w:hAnsi="Times New Roman"/>
          <w:szCs w:val="24"/>
        </w:rPr>
        <w:t>.09</w:t>
      </w:r>
      <w:r w:rsidRPr="00AC2DA9">
        <w:rPr>
          <w:rStyle w:val="InitialStyle"/>
          <w:rFonts w:ascii="Times New Roman" w:hAnsi="Times New Roman"/>
          <w:szCs w:val="24"/>
        </w:rPr>
        <w:tab/>
      </w:r>
      <w:r w:rsidR="00EC19B1" w:rsidRPr="00AC2DA9">
        <w:rPr>
          <w:szCs w:val="24"/>
        </w:rPr>
        <w:t>Qualified terminable interest and Maine elective property</w:t>
      </w:r>
    </w:p>
    <w:p w14:paraId="3388F559" w14:textId="77777777" w:rsidR="00EC19B1" w:rsidRPr="00AC2DA9" w:rsidRDefault="00C93A09" w:rsidP="00EC19B1">
      <w:pPr>
        <w:pStyle w:val="Header"/>
        <w:tabs>
          <w:tab w:val="left" w:pos="720"/>
          <w:tab w:val="left" w:pos="1440"/>
          <w:tab w:val="left" w:pos="2160"/>
          <w:tab w:val="left" w:pos="2880"/>
          <w:tab w:val="left" w:pos="3600"/>
        </w:tabs>
        <w:rPr>
          <w:rStyle w:val="InitialStyle"/>
          <w:rFonts w:ascii="Times New Roman" w:hAnsi="Times New Roman"/>
        </w:rPr>
      </w:pPr>
      <w:r w:rsidRPr="00AC2DA9">
        <w:rPr>
          <w:rStyle w:val="InitialStyle"/>
          <w:rFonts w:ascii="Times New Roman" w:hAnsi="Times New Roman"/>
        </w:rPr>
        <w:t>.10</w:t>
      </w:r>
      <w:r w:rsidR="00EC19B1" w:rsidRPr="00AC2DA9">
        <w:rPr>
          <w:rStyle w:val="InitialStyle"/>
          <w:rFonts w:ascii="Times New Roman" w:hAnsi="Times New Roman"/>
        </w:rPr>
        <w:tab/>
      </w:r>
      <w:r w:rsidR="00EC19B1" w:rsidRPr="00AC2DA9">
        <w:t>Qualified domestic trusts</w:t>
      </w:r>
    </w:p>
    <w:p w14:paraId="283931B3" w14:textId="77777777" w:rsidR="00EC19B1" w:rsidRPr="00AC2DA9" w:rsidRDefault="00C93A09" w:rsidP="00EC19B1">
      <w:pPr>
        <w:pStyle w:val="Header"/>
        <w:tabs>
          <w:tab w:val="left" w:pos="720"/>
          <w:tab w:val="left" w:pos="1440"/>
          <w:tab w:val="left" w:pos="2160"/>
          <w:tab w:val="left" w:pos="2880"/>
          <w:tab w:val="left" w:pos="3600"/>
        </w:tabs>
      </w:pPr>
      <w:r w:rsidRPr="00AC2DA9">
        <w:t>.11</w:t>
      </w:r>
      <w:r w:rsidR="00EC19B1" w:rsidRPr="00AC2DA9">
        <w:rPr>
          <w:rStyle w:val="InitialStyle"/>
          <w:rFonts w:ascii="Times New Roman" w:hAnsi="Times New Roman"/>
        </w:rPr>
        <w:tab/>
      </w:r>
      <w:r w:rsidR="00EC19B1" w:rsidRPr="00AC2DA9">
        <w:t>Liability</w:t>
      </w:r>
    </w:p>
    <w:p w14:paraId="353455C0" w14:textId="77777777" w:rsidR="00EC19B1" w:rsidRPr="00AC2DA9" w:rsidRDefault="00C93A09" w:rsidP="00EC19B1">
      <w:pPr>
        <w:pStyle w:val="Header"/>
        <w:tabs>
          <w:tab w:val="left" w:pos="720"/>
          <w:tab w:val="left" w:pos="1440"/>
          <w:tab w:val="left" w:pos="2160"/>
          <w:tab w:val="left" w:pos="2880"/>
          <w:tab w:val="left" w:pos="3600"/>
        </w:tabs>
      </w:pPr>
      <w:r w:rsidRPr="00AC2DA9">
        <w:t>.12</w:t>
      </w:r>
      <w:r w:rsidR="00EC19B1" w:rsidRPr="00AC2DA9">
        <w:tab/>
        <w:t>Liens and lien releases</w:t>
      </w:r>
    </w:p>
    <w:p w14:paraId="33CA89A8" w14:textId="77777777" w:rsidR="00EC19B1" w:rsidRPr="00AC2DA9" w:rsidRDefault="00C93A09" w:rsidP="00EC19B1">
      <w:pPr>
        <w:pStyle w:val="Header"/>
        <w:pBdr>
          <w:bottom w:val="single" w:sz="4" w:space="1" w:color="auto"/>
        </w:pBdr>
        <w:tabs>
          <w:tab w:val="left" w:pos="720"/>
          <w:tab w:val="left" w:pos="1440"/>
          <w:tab w:val="left" w:pos="2160"/>
          <w:tab w:val="left" w:pos="2880"/>
          <w:tab w:val="left" w:pos="3600"/>
        </w:tabs>
      </w:pPr>
      <w:r w:rsidRPr="00AC2DA9">
        <w:t>.13</w:t>
      </w:r>
      <w:r w:rsidR="00EC19B1" w:rsidRPr="00AC2DA9">
        <w:tab/>
        <w:t>Application date</w:t>
      </w:r>
    </w:p>
    <w:p w14:paraId="7C0FC2E0" w14:textId="77777777" w:rsidR="00EC19B1" w:rsidRPr="00AC2DA9" w:rsidRDefault="00EC19B1" w:rsidP="00EC19B1">
      <w:pPr>
        <w:pStyle w:val="Header"/>
        <w:pBdr>
          <w:bottom w:val="single" w:sz="4" w:space="1" w:color="auto"/>
        </w:pBdr>
        <w:tabs>
          <w:tab w:val="left" w:pos="720"/>
          <w:tab w:val="left" w:pos="1440"/>
          <w:tab w:val="left" w:pos="2160"/>
          <w:tab w:val="left" w:pos="2880"/>
          <w:tab w:val="left" w:pos="3600"/>
        </w:tabs>
        <w:rPr>
          <w:b/>
        </w:rPr>
      </w:pPr>
    </w:p>
    <w:p w14:paraId="03B40B35" w14:textId="77777777" w:rsidR="00EC19B1" w:rsidRPr="00AC2DA9" w:rsidRDefault="00EC19B1" w:rsidP="00EC19B1">
      <w:pPr>
        <w:pStyle w:val="Header"/>
        <w:tabs>
          <w:tab w:val="left" w:pos="720"/>
          <w:tab w:val="left" w:pos="1440"/>
          <w:tab w:val="left" w:pos="2160"/>
          <w:tab w:val="left" w:pos="2880"/>
          <w:tab w:val="left" w:pos="3600"/>
        </w:tabs>
        <w:rPr>
          <w:b/>
        </w:rPr>
      </w:pPr>
    </w:p>
    <w:p w14:paraId="2D1E9F3C" w14:textId="77777777" w:rsidR="00EC19B1" w:rsidRPr="00AC2DA9" w:rsidRDefault="00EC19B1" w:rsidP="00EC19B1">
      <w:pPr>
        <w:pStyle w:val="Header"/>
        <w:tabs>
          <w:tab w:val="left" w:pos="720"/>
          <w:tab w:val="left" w:pos="1440"/>
          <w:tab w:val="left" w:pos="2160"/>
          <w:tab w:val="left" w:pos="2880"/>
          <w:tab w:val="left" w:pos="3600"/>
        </w:tabs>
        <w:rPr>
          <w:b/>
        </w:rPr>
      </w:pPr>
    </w:p>
    <w:p w14:paraId="0ACF965E" w14:textId="77777777" w:rsidR="00EC19B1" w:rsidRPr="00AC2DA9" w:rsidRDefault="00EC19B1" w:rsidP="00EC19B1">
      <w:pPr>
        <w:pStyle w:val="Header"/>
        <w:tabs>
          <w:tab w:val="left" w:pos="720"/>
          <w:tab w:val="left" w:pos="1440"/>
          <w:tab w:val="left" w:pos="2160"/>
          <w:tab w:val="left" w:pos="2880"/>
          <w:tab w:val="left" w:pos="3600"/>
        </w:tabs>
      </w:pPr>
      <w:bookmarkStart w:id="0" w:name="OLE_LINK1"/>
      <w:r w:rsidRPr="00AC2DA9">
        <w:rPr>
          <w:b/>
        </w:rPr>
        <w:t>.01</w:t>
      </w:r>
      <w:r w:rsidRPr="00AC2DA9">
        <w:rPr>
          <w:b/>
        </w:rPr>
        <w:tab/>
        <w:t>Definitions</w:t>
      </w:r>
    </w:p>
    <w:p w14:paraId="58C85842" w14:textId="77777777" w:rsidR="00EC19B1" w:rsidRPr="00AC2DA9" w:rsidRDefault="00EC19B1" w:rsidP="00EC19B1">
      <w:pPr>
        <w:pStyle w:val="Header"/>
        <w:tabs>
          <w:tab w:val="left" w:pos="720"/>
          <w:tab w:val="left" w:pos="1440"/>
          <w:tab w:val="left" w:pos="2160"/>
          <w:tab w:val="left" w:pos="2880"/>
          <w:tab w:val="left" w:pos="3600"/>
        </w:tabs>
      </w:pPr>
    </w:p>
    <w:p w14:paraId="18EEBA17" w14:textId="77777777" w:rsidR="00EC19B1" w:rsidRPr="00AC2DA9" w:rsidRDefault="00EC19B1" w:rsidP="00EC19B1">
      <w:pPr>
        <w:pStyle w:val="Header"/>
        <w:tabs>
          <w:tab w:val="left" w:pos="720"/>
          <w:tab w:val="left" w:pos="1440"/>
          <w:tab w:val="left" w:pos="2160"/>
          <w:tab w:val="left" w:pos="2880"/>
          <w:tab w:val="left" w:pos="3600"/>
        </w:tabs>
        <w:ind w:left="720"/>
      </w:pPr>
      <w:r w:rsidRPr="00AC2DA9">
        <w:t xml:space="preserve">The following definitions apply with respect to this rule and 36 </w:t>
      </w:r>
      <w:r w:rsidR="00C67790" w:rsidRPr="00AC2DA9">
        <w:t>M.R.S.</w:t>
      </w:r>
      <w:r w:rsidRPr="00AC2DA9">
        <w:t>,</w:t>
      </w:r>
      <w:r w:rsidR="004F5D0F" w:rsidRPr="00AC2DA9">
        <w:t xml:space="preserve"> Chapter 577</w:t>
      </w:r>
      <w:r w:rsidRPr="00AC2DA9">
        <w:t>, except as the context may otherwise require.</w:t>
      </w:r>
    </w:p>
    <w:p w14:paraId="1965BD3B" w14:textId="77777777" w:rsidR="00EC19B1" w:rsidRPr="00AC2DA9" w:rsidRDefault="00EC19B1" w:rsidP="00EC19B1">
      <w:pPr>
        <w:pStyle w:val="Header"/>
        <w:tabs>
          <w:tab w:val="left" w:pos="720"/>
          <w:tab w:val="left" w:pos="1440"/>
          <w:tab w:val="left" w:pos="2160"/>
          <w:tab w:val="left" w:pos="2880"/>
          <w:tab w:val="left" w:pos="3600"/>
        </w:tabs>
        <w:rPr>
          <w:b/>
          <w:highlight w:val="magenta"/>
        </w:rPr>
      </w:pPr>
    </w:p>
    <w:p w14:paraId="6F192EBD" w14:textId="77777777" w:rsidR="00EC19B1" w:rsidRPr="00AC2DA9" w:rsidRDefault="00EC19B1" w:rsidP="00EC19B1">
      <w:pPr>
        <w:pStyle w:val="Header"/>
        <w:tabs>
          <w:tab w:val="left" w:pos="720"/>
          <w:tab w:val="left" w:pos="1440"/>
          <w:tab w:val="left" w:pos="2160"/>
          <w:tab w:val="left" w:pos="2880"/>
          <w:tab w:val="left" w:pos="3600"/>
        </w:tabs>
        <w:ind w:left="1440" w:hanging="1440"/>
      </w:pPr>
      <w:r w:rsidRPr="00AC2DA9">
        <w:rPr>
          <w:b/>
        </w:rPr>
        <w:tab/>
      </w:r>
      <w:r w:rsidRPr="00DD6277">
        <w:rPr>
          <w:b/>
          <w:bCs/>
        </w:rPr>
        <w:t>A.</w:t>
      </w:r>
      <w:r w:rsidRPr="00AC2DA9">
        <w:rPr>
          <w:b/>
        </w:rPr>
        <w:tab/>
        <w:t>Gap estate</w:t>
      </w:r>
      <w:r w:rsidR="009645DF" w:rsidRPr="00AC2DA9">
        <w:rPr>
          <w:b/>
        </w:rPr>
        <w:t>.</w:t>
      </w:r>
      <w:r w:rsidR="009645DF" w:rsidRPr="00AC2DA9">
        <w:t xml:space="preserve">  </w:t>
      </w:r>
      <w:r w:rsidRPr="00AC2DA9">
        <w:t>“Gap estate” means the estate of a decedent where the value of the gross estate as of the decedent’s date of death or alternate valuation date is less than or equal to the federal exclusion amount</w:t>
      </w:r>
      <w:r w:rsidR="005178B7" w:rsidRPr="00AC2DA9">
        <w:t xml:space="preserve"> pursuant to the </w:t>
      </w:r>
      <w:r w:rsidR="00AA11C7" w:rsidRPr="00AC2DA9">
        <w:t>Internal Revenue Code (</w:t>
      </w:r>
      <w:r w:rsidR="00C46987" w:rsidRPr="00AC2DA9">
        <w:t xml:space="preserve"> </w:t>
      </w:r>
      <w:r w:rsidR="00AA11C7" w:rsidRPr="00AC2DA9">
        <w:t>“</w:t>
      </w:r>
      <w:r w:rsidR="005178B7" w:rsidRPr="00AC2DA9">
        <w:t>Code</w:t>
      </w:r>
      <w:r w:rsidR="00AA11C7" w:rsidRPr="00AC2DA9">
        <w:t>”)</w:t>
      </w:r>
      <w:r w:rsidR="005178B7" w:rsidRPr="00AC2DA9">
        <w:t xml:space="preserve"> </w:t>
      </w:r>
      <w:r w:rsidR="00865616" w:rsidRPr="00AC2DA9">
        <w:t>§ 2010</w:t>
      </w:r>
      <w:r w:rsidR="00C46987" w:rsidRPr="00AC2DA9">
        <w:t>,</w:t>
      </w:r>
      <w:r w:rsidR="00865616" w:rsidRPr="00AC2DA9">
        <w:t xml:space="preserve"> </w:t>
      </w:r>
      <w:r w:rsidRPr="00AC2DA9">
        <w:t>but more than the Maine exclusion amount</w:t>
      </w:r>
      <w:r w:rsidR="004B3704" w:rsidRPr="00AC2DA9">
        <w:t xml:space="preserve"> under 36 </w:t>
      </w:r>
      <w:r w:rsidR="0062452D" w:rsidRPr="00AC2DA9">
        <w:t>M</w:t>
      </w:r>
      <w:r w:rsidR="00C67790" w:rsidRPr="00AC2DA9">
        <w:t xml:space="preserve">.R.S. </w:t>
      </w:r>
      <w:r w:rsidR="004B3704" w:rsidRPr="00AC2DA9">
        <w:t>§ 4102(5)</w:t>
      </w:r>
      <w:r w:rsidRPr="00AC2DA9">
        <w:t>.</w:t>
      </w:r>
    </w:p>
    <w:p w14:paraId="3422EC3E" w14:textId="77777777" w:rsidR="004B3704" w:rsidRPr="00AC2DA9" w:rsidRDefault="004B3704" w:rsidP="00EC19B1">
      <w:pPr>
        <w:pStyle w:val="Header"/>
        <w:tabs>
          <w:tab w:val="left" w:pos="720"/>
          <w:tab w:val="left" w:pos="1440"/>
          <w:tab w:val="left" w:pos="2160"/>
          <w:tab w:val="left" w:pos="2880"/>
          <w:tab w:val="left" w:pos="3600"/>
        </w:tabs>
        <w:ind w:left="1440" w:hanging="1440"/>
      </w:pPr>
    </w:p>
    <w:p w14:paraId="3ACDC96F" w14:textId="77777777" w:rsidR="00EC19B1" w:rsidRPr="00AC2DA9" w:rsidRDefault="004E56DA" w:rsidP="00EC19B1">
      <w:pPr>
        <w:pStyle w:val="Header"/>
        <w:tabs>
          <w:tab w:val="left" w:pos="720"/>
          <w:tab w:val="left" w:pos="1440"/>
          <w:tab w:val="left" w:pos="2160"/>
          <w:tab w:val="left" w:pos="2880"/>
          <w:tab w:val="left" w:pos="3600"/>
        </w:tabs>
        <w:ind w:left="1440" w:hanging="1440"/>
      </w:pPr>
      <w:r w:rsidRPr="00AC2DA9">
        <w:tab/>
      </w:r>
      <w:r w:rsidRPr="00DD6277">
        <w:rPr>
          <w:b/>
          <w:bCs/>
        </w:rPr>
        <w:t>B</w:t>
      </w:r>
      <w:r w:rsidR="00F65B96" w:rsidRPr="00DD6277">
        <w:rPr>
          <w:b/>
          <w:bCs/>
        </w:rPr>
        <w:t>.</w:t>
      </w:r>
      <w:r w:rsidR="00F65B96" w:rsidRPr="00AC2DA9">
        <w:tab/>
      </w:r>
      <w:r w:rsidR="008D357D" w:rsidRPr="00AC2DA9">
        <w:rPr>
          <w:b/>
        </w:rPr>
        <w:t>Pass-</w:t>
      </w:r>
      <w:r w:rsidR="00BA53EA" w:rsidRPr="00AC2DA9">
        <w:rPr>
          <w:b/>
        </w:rPr>
        <w:t xml:space="preserve">through entity.  </w:t>
      </w:r>
      <w:r w:rsidR="00BA53EA" w:rsidRPr="00AC2DA9">
        <w:t xml:space="preserve">“Pass-through entity” means a </w:t>
      </w:r>
      <w:r w:rsidR="00DC2ED8" w:rsidRPr="00AC2DA9">
        <w:t xml:space="preserve">trust, a </w:t>
      </w:r>
      <w:r w:rsidR="00BA53EA" w:rsidRPr="00AC2DA9">
        <w:t xml:space="preserve">corporation that for the applicable tax year is treated as an S corporation under the Code </w:t>
      </w:r>
      <w:r w:rsidR="00394F34" w:rsidRPr="00AC2DA9">
        <w:t>or</w:t>
      </w:r>
      <w:r w:rsidR="00BA53EA" w:rsidRPr="00AC2DA9">
        <w:t xml:space="preserve"> a general partnership, limited partnership, limited liability partnership, limited liability company or similar entity</w:t>
      </w:r>
      <w:r w:rsidR="00F52895" w:rsidRPr="00AC2DA9">
        <w:t>,</w:t>
      </w:r>
      <w:r w:rsidR="00BA53EA" w:rsidRPr="00AC2DA9">
        <w:t xml:space="preserve"> that for the applicable tax year is not taxed as a C corporation for federal tax purposes. </w:t>
      </w:r>
    </w:p>
    <w:p w14:paraId="03B58909" w14:textId="77777777" w:rsidR="001D678F" w:rsidRPr="00AC2DA9" w:rsidRDefault="001D678F" w:rsidP="00EC19B1">
      <w:pPr>
        <w:pStyle w:val="Header"/>
        <w:tabs>
          <w:tab w:val="left" w:pos="720"/>
          <w:tab w:val="left" w:pos="1440"/>
          <w:tab w:val="left" w:pos="2160"/>
          <w:tab w:val="left" w:pos="2880"/>
          <w:tab w:val="left" w:pos="3600"/>
        </w:tabs>
        <w:ind w:left="1440" w:hanging="1440"/>
      </w:pPr>
    </w:p>
    <w:p w14:paraId="6656CC59" w14:textId="77777777" w:rsidR="00EC19B1" w:rsidRPr="00AC2DA9" w:rsidRDefault="00EC19B1" w:rsidP="00EC19B1">
      <w:pPr>
        <w:pStyle w:val="Header"/>
        <w:tabs>
          <w:tab w:val="left" w:pos="720"/>
          <w:tab w:val="left" w:pos="1440"/>
          <w:tab w:val="left" w:pos="2160"/>
          <w:tab w:val="left" w:pos="2880"/>
          <w:tab w:val="left" w:pos="3600"/>
        </w:tabs>
        <w:ind w:left="1440" w:hanging="1440"/>
      </w:pPr>
      <w:r w:rsidRPr="00AC2DA9">
        <w:tab/>
      </w:r>
      <w:r w:rsidR="004E56DA" w:rsidRPr="00DD6277">
        <w:rPr>
          <w:b/>
          <w:bCs/>
        </w:rPr>
        <w:t>C</w:t>
      </w:r>
      <w:r w:rsidRPr="00DD6277">
        <w:rPr>
          <w:b/>
          <w:bCs/>
        </w:rPr>
        <w:t>.</w:t>
      </w:r>
      <w:r w:rsidRPr="00AC2DA9">
        <w:rPr>
          <w:b/>
        </w:rPr>
        <w:tab/>
      </w:r>
      <w:r w:rsidR="004A3FAB" w:rsidRPr="00AC2DA9">
        <w:rPr>
          <w:b/>
        </w:rPr>
        <w:t>P</w:t>
      </w:r>
      <w:r w:rsidRPr="00AC2DA9">
        <w:rPr>
          <w:b/>
        </w:rPr>
        <w:t>ro forma federal Form 706</w:t>
      </w:r>
      <w:r w:rsidR="009645DF" w:rsidRPr="00AC2DA9">
        <w:rPr>
          <w:b/>
        </w:rPr>
        <w:t xml:space="preserve">.  </w:t>
      </w:r>
      <w:r w:rsidRPr="00AC2DA9">
        <w:t>“Pro forma</w:t>
      </w:r>
      <w:r w:rsidRPr="00AC2DA9">
        <w:rPr>
          <w:b/>
        </w:rPr>
        <w:t xml:space="preserve"> </w:t>
      </w:r>
      <w:r w:rsidRPr="00AC2DA9">
        <w:t>federal Form 706” means federal Form 706 prepared as if it were required to be filed federally under the Code.</w:t>
      </w:r>
    </w:p>
    <w:p w14:paraId="2AEA675F" w14:textId="77777777" w:rsidR="00EC19B1" w:rsidRPr="00AC2DA9" w:rsidRDefault="00EC19B1" w:rsidP="00EC19B1">
      <w:pPr>
        <w:pStyle w:val="Header"/>
        <w:tabs>
          <w:tab w:val="left" w:pos="720"/>
          <w:tab w:val="left" w:pos="1440"/>
          <w:tab w:val="left" w:pos="2160"/>
          <w:tab w:val="left" w:pos="2880"/>
          <w:tab w:val="left" w:pos="3600"/>
        </w:tabs>
        <w:ind w:left="1440" w:hanging="1440"/>
        <w:rPr>
          <w:b/>
          <w:highlight w:val="magenta"/>
        </w:rPr>
      </w:pPr>
    </w:p>
    <w:p w14:paraId="7D8C76B5" w14:textId="77777777" w:rsidR="00EC19B1" w:rsidRPr="00AC2DA9" w:rsidRDefault="007F76AB" w:rsidP="00EC19B1">
      <w:pPr>
        <w:pStyle w:val="Header"/>
        <w:tabs>
          <w:tab w:val="left" w:pos="720"/>
          <w:tab w:val="left" w:pos="1440"/>
          <w:tab w:val="left" w:pos="2160"/>
          <w:tab w:val="left" w:pos="2880"/>
          <w:tab w:val="left" w:pos="3600"/>
        </w:tabs>
        <w:ind w:left="1440" w:hanging="1440"/>
      </w:pPr>
      <w:r w:rsidRPr="00AC2DA9">
        <w:rPr>
          <w:b/>
        </w:rPr>
        <w:tab/>
      </w:r>
      <w:r w:rsidR="004E56DA" w:rsidRPr="00DD6277">
        <w:rPr>
          <w:b/>
          <w:bCs/>
        </w:rPr>
        <w:t>D</w:t>
      </w:r>
      <w:r w:rsidR="00EC19B1" w:rsidRPr="00DD6277">
        <w:rPr>
          <w:b/>
          <w:bCs/>
        </w:rPr>
        <w:t>.</w:t>
      </w:r>
      <w:r w:rsidR="00EC19B1" w:rsidRPr="00AC2DA9">
        <w:rPr>
          <w:b/>
        </w:rPr>
        <w:tab/>
        <w:t>Surviving spouse</w:t>
      </w:r>
      <w:r w:rsidR="009645DF" w:rsidRPr="00AC2DA9">
        <w:rPr>
          <w:b/>
        </w:rPr>
        <w:t>.</w:t>
      </w:r>
      <w:r w:rsidR="009645DF" w:rsidRPr="00AC2DA9">
        <w:t xml:space="preserve">  </w:t>
      </w:r>
      <w:r w:rsidR="00EC19B1" w:rsidRPr="00AC2DA9">
        <w:t>“Surviving spouse” means an individual who outlived the decedent and who was married, according to the laws of Maine, to the decedent at the time of the decedent’s death.</w:t>
      </w:r>
    </w:p>
    <w:bookmarkEnd w:id="0"/>
    <w:p w14:paraId="10B2FDBC" w14:textId="77777777" w:rsidR="00EC19B1" w:rsidRPr="00AC2DA9" w:rsidRDefault="00EC19B1" w:rsidP="00EC19B1">
      <w:pPr>
        <w:pStyle w:val="Header"/>
        <w:tabs>
          <w:tab w:val="left" w:pos="720"/>
          <w:tab w:val="left" w:pos="1440"/>
          <w:tab w:val="left" w:pos="2160"/>
          <w:tab w:val="left" w:pos="2880"/>
          <w:tab w:val="left" w:pos="3600"/>
        </w:tabs>
        <w:rPr>
          <w:b/>
        </w:rPr>
      </w:pPr>
    </w:p>
    <w:p w14:paraId="3DBCD210" w14:textId="77777777" w:rsidR="005B0C1B" w:rsidRPr="00AC2DA9" w:rsidRDefault="005B0C1B" w:rsidP="00EC19B1">
      <w:pPr>
        <w:pStyle w:val="Header"/>
        <w:tabs>
          <w:tab w:val="left" w:pos="720"/>
          <w:tab w:val="left" w:pos="1440"/>
          <w:tab w:val="left" w:pos="2160"/>
          <w:tab w:val="left" w:pos="2880"/>
          <w:tab w:val="left" w:pos="3600"/>
        </w:tabs>
        <w:rPr>
          <w:b/>
        </w:rPr>
      </w:pPr>
    </w:p>
    <w:p w14:paraId="0FD39592" w14:textId="77777777" w:rsidR="00EC19B1" w:rsidRPr="00AC2DA9" w:rsidRDefault="00EC19B1" w:rsidP="00EC19B1">
      <w:pPr>
        <w:pStyle w:val="Header"/>
        <w:tabs>
          <w:tab w:val="left" w:pos="720"/>
          <w:tab w:val="left" w:pos="1440"/>
          <w:tab w:val="left" w:pos="2160"/>
          <w:tab w:val="left" w:pos="2880"/>
          <w:tab w:val="left" w:pos="3600"/>
        </w:tabs>
        <w:rPr>
          <w:b/>
        </w:rPr>
      </w:pPr>
      <w:r w:rsidRPr="00AC2DA9">
        <w:rPr>
          <w:b/>
        </w:rPr>
        <w:t>.02</w:t>
      </w:r>
      <w:r w:rsidRPr="00AC2DA9">
        <w:rPr>
          <w:b/>
        </w:rPr>
        <w:tab/>
        <w:t xml:space="preserve">Federal </w:t>
      </w:r>
      <w:r w:rsidR="009645DF" w:rsidRPr="00AC2DA9">
        <w:rPr>
          <w:b/>
        </w:rPr>
        <w:t>laws</w:t>
      </w:r>
    </w:p>
    <w:p w14:paraId="431DA8C7" w14:textId="77777777" w:rsidR="00EC19B1" w:rsidRPr="00AC2DA9" w:rsidRDefault="00EC19B1" w:rsidP="00EC19B1">
      <w:pPr>
        <w:pStyle w:val="Header"/>
        <w:tabs>
          <w:tab w:val="left" w:pos="720"/>
          <w:tab w:val="left" w:pos="1440"/>
          <w:tab w:val="left" w:pos="2160"/>
          <w:tab w:val="left" w:pos="2880"/>
          <w:tab w:val="left" w:pos="3600"/>
        </w:tabs>
        <w:rPr>
          <w:b/>
        </w:rPr>
      </w:pPr>
    </w:p>
    <w:p w14:paraId="63E0B09C" w14:textId="3C12330A" w:rsidR="00EC19B1" w:rsidRPr="00AC2DA9" w:rsidRDefault="00896741" w:rsidP="00896741">
      <w:pPr>
        <w:pStyle w:val="Header"/>
        <w:tabs>
          <w:tab w:val="left" w:pos="1440"/>
          <w:tab w:val="left" w:pos="2880"/>
          <w:tab w:val="left" w:pos="3600"/>
        </w:tabs>
        <w:ind w:left="720" w:hanging="720"/>
        <w:rPr>
          <w:rStyle w:val="InitialStyle"/>
          <w:rFonts w:ascii="Times New Roman" w:hAnsi="Times New Roman"/>
        </w:rPr>
      </w:pPr>
      <w:r w:rsidRPr="00AC2DA9">
        <w:rPr>
          <w:rStyle w:val="InitialStyle"/>
          <w:rFonts w:ascii="Times New Roman" w:hAnsi="Times New Roman"/>
        </w:rPr>
        <w:tab/>
      </w:r>
      <w:r w:rsidR="00DF3C8B" w:rsidRPr="00AC2DA9">
        <w:rPr>
          <w:rStyle w:val="InitialStyle"/>
          <w:rFonts w:ascii="Times New Roman" w:hAnsi="Times New Roman"/>
        </w:rPr>
        <w:t xml:space="preserve">Unless specifically provided by Maine law or regulations, </w:t>
      </w:r>
      <w:r w:rsidR="00FE742A" w:rsidRPr="00AC2DA9">
        <w:rPr>
          <w:rStyle w:val="InitialStyle"/>
          <w:rFonts w:ascii="Times New Roman" w:hAnsi="Times New Roman"/>
        </w:rPr>
        <w:t>Maine Revenue Services generally looks to federal</w:t>
      </w:r>
      <w:r w:rsidR="00C279D6" w:rsidRPr="00AC2DA9">
        <w:rPr>
          <w:rStyle w:val="InitialStyle"/>
          <w:rFonts w:ascii="Times New Roman" w:hAnsi="Times New Roman"/>
        </w:rPr>
        <w:t xml:space="preserve"> </w:t>
      </w:r>
      <w:r w:rsidR="00FE742A" w:rsidRPr="00AC2DA9">
        <w:rPr>
          <w:rStyle w:val="InitialStyle"/>
          <w:rFonts w:ascii="Times New Roman" w:hAnsi="Times New Roman"/>
        </w:rPr>
        <w:t>law, i</w:t>
      </w:r>
      <w:r w:rsidRPr="00AC2DA9">
        <w:rPr>
          <w:rStyle w:val="InitialStyle"/>
          <w:rFonts w:ascii="Times New Roman" w:hAnsi="Times New Roman"/>
        </w:rPr>
        <w:t xml:space="preserve">ncluding statutes, regulations, </w:t>
      </w:r>
      <w:r w:rsidR="00FE742A" w:rsidRPr="00AC2DA9">
        <w:rPr>
          <w:rStyle w:val="InitialStyle"/>
          <w:rFonts w:ascii="Times New Roman" w:hAnsi="Times New Roman"/>
        </w:rPr>
        <w:t>statements, policy</w:t>
      </w:r>
      <w:r w:rsidR="00D94F8F" w:rsidRPr="00462C52">
        <w:rPr>
          <w:rStyle w:val="InitialStyle"/>
          <w:rFonts w:ascii="Times New Roman" w:hAnsi="Times New Roman"/>
          <w:u w:val="single"/>
        </w:rPr>
        <w:t>,</w:t>
      </w:r>
      <w:r w:rsidR="00FE742A" w:rsidRPr="00AC2DA9">
        <w:rPr>
          <w:rStyle w:val="InitialStyle"/>
          <w:rFonts w:ascii="Times New Roman" w:hAnsi="Times New Roman"/>
        </w:rPr>
        <w:t xml:space="preserve"> and related case law for guidance when interpreting analogous provisions of Maine estate tax law.  However, the </w:t>
      </w:r>
      <w:r w:rsidR="00EC19B1" w:rsidRPr="00AC2DA9">
        <w:rPr>
          <w:rStyle w:val="InitialStyle"/>
          <w:rFonts w:ascii="Times New Roman" w:hAnsi="Times New Roman"/>
        </w:rPr>
        <w:t xml:space="preserve">state death tax deduction contained in Code </w:t>
      </w:r>
      <w:r w:rsidR="009322BB" w:rsidRPr="00AC2DA9">
        <w:rPr>
          <w:rStyle w:val="InitialStyle"/>
          <w:rFonts w:ascii="Times New Roman" w:hAnsi="Times New Roman"/>
        </w:rPr>
        <w:t xml:space="preserve">§ </w:t>
      </w:r>
      <w:r w:rsidR="00EC19B1" w:rsidRPr="00AC2DA9">
        <w:rPr>
          <w:rStyle w:val="InitialStyle"/>
          <w:rFonts w:ascii="Times New Roman" w:hAnsi="Times New Roman"/>
        </w:rPr>
        <w:t>2058 must be disregarded.</w:t>
      </w:r>
    </w:p>
    <w:p w14:paraId="3DE4341A" w14:textId="77777777" w:rsidR="0062452D" w:rsidRPr="00AC2DA9" w:rsidRDefault="0062452D" w:rsidP="00896741">
      <w:pPr>
        <w:pStyle w:val="Header"/>
        <w:tabs>
          <w:tab w:val="left" w:pos="1440"/>
          <w:tab w:val="left" w:pos="2880"/>
          <w:tab w:val="left" w:pos="3600"/>
        </w:tabs>
        <w:ind w:left="720" w:hanging="720"/>
        <w:rPr>
          <w:rStyle w:val="InitialStyle"/>
          <w:rFonts w:ascii="Times New Roman" w:hAnsi="Times New Roman"/>
        </w:rPr>
      </w:pPr>
    </w:p>
    <w:p w14:paraId="76AFA4B4" w14:textId="77777777" w:rsidR="00404089" w:rsidRPr="00AC2DA9" w:rsidRDefault="00404089" w:rsidP="00896741">
      <w:pPr>
        <w:pStyle w:val="Header"/>
        <w:tabs>
          <w:tab w:val="left" w:pos="720"/>
          <w:tab w:val="left" w:pos="1440"/>
          <w:tab w:val="left" w:pos="2160"/>
          <w:tab w:val="left" w:pos="2880"/>
          <w:tab w:val="left" w:pos="3600"/>
        </w:tabs>
        <w:rPr>
          <w:b/>
        </w:rPr>
      </w:pPr>
    </w:p>
    <w:p w14:paraId="4B4E96BC" w14:textId="77777777" w:rsidR="00EC19B1" w:rsidRPr="00AC2DA9" w:rsidRDefault="00EC19B1" w:rsidP="00EC19B1">
      <w:pPr>
        <w:pStyle w:val="Header"/>
        <w:keepNext/>
        <w:keepLines/>
        <w:tabs>
          <w:tab w:val="left" w:pos="720"/>
          <w:tab w:val="left" w:pos="1440"/>
          <w:tab w:val="left" w:pos="2160"/>
          <w:tab w:val="left" w:pos="2880"/>
          <w:tab w:val="left" w:pos="3600"/>
        </w:tabs>
        <w:rPr>
          <w:b/>
        </w:rPr>
      </w:pPr>
      <w:r w:rsidRPr="00AC2DA9">
        <w:rPr>
          <w:b/>
        </w:rPr>
        <w:t>.03</w:t>
      </w:r>
      <w:r w:rsidRPr="00AC2DA9">
        <w:rPr>
          <w:b/>
        </w:rPr>
        <w:tab/>
        <w:t>Filing requirements</w:t>
      </w:r>
    </w:p>
    <w:p w14:paraId="20F98231" w14:textId="77777777" w:rsidR="00EC19B1" w:rsidRPr="00AC2DA9" w:rsidRDefault="00EC19B1" w:rsidP="00EC19B1">
      <w:pPr>
        <w:pStyle w:val="Header"/>
        <w:keepNext/>
        <w:keepLines/>
        <w:tabs>
          <w:tab w:val="left" w:pos="720"/>
          <w:tab w:val="left" w:pos="1440"/>
          <w:tab w:val="left" w:pos="2160"/>
          <w:tab w:val="left" w:pos="2880"/>
          <w:tab w:val="left" w:pos="3600"/>
        </w:tabs>
      </w:pPr>
    </w:p>
    <w:p w14:paraId="1F0447C0" w14:textId="77777777" w:rsidR="00EC19B1" w:rsidRPr="00AC2DA9" w:rsidRDefault="00EC19B1" w:rsidP="00EC19B1">
      <w:pPr>
        <w:keepNext/>
        <w:keepLines/>
        <w:tabs>
          <w:tab w:val="left" w:pos="720"/>
          <w:tab w:val="left" w:pos="1440"/>
          <w:tab w:val="left" w:pos="2160"/>
          <w:tab w:val="left" w:pos="2880"/>
          <w:tab w:val="left" w:pos="3600"/>
        </w:tabs>
        <w:rPr>
          <w:b/>
        </w:rPr>
      </w:pPr>
      <w:r w:rsidRPr="00AC2DA9">
        <w:tab/>
      </w:r>
      <w:r w:rsidRPr="00AC2DA9">
        <w:rPr>
          <w:b/>
        </w:rPr>
        <w:t>A.</w:t>
      </w:r>
      <w:r w:rsidRPr="00AC2DA9">
        <w:rPr>
          <w:b/>
        </w:rPr>
        <w:tab/>
        <w:t>Forms</w:t>
      </w:r>
      <w:r w:rsidR="00544F32" w:rsidRPr="00AC2DA9">
        <w:rPr>
          <w:b/>
        </w:rPr>
        <w:t xml:space="preserve">, </w:t>
      </w:r>
      <w:proofErr w:type="gramStart"/>
      <w:r w:rsidR="008C1D40" w:rsidRPr="00AC2DA9">
        <w:rPr>
          <w:b/>
        </w:rPr>
        <w:t>s</w:t>
      </w:r>
      <w:r w:rsidR="00544F32" w:rsidRPr="00AC2DA9">
        <w:rPr>
          <w:b/>
        </w:rPr>
        <w:t>tatements</w:t>
      </w:r>
      <w:proofErr w:type="gramEnd"/>
      <w:r w:rsidR="00544F32" w:rsidRPr="00AC2DA9">
        <w:rPr>
          <w:b/>
        </w:rPr>
        <w:t xml:space="preserve"> and </w:t>
      </w:r>
      <w:r w:rsidR="008C1D40" w:rsidRPr="00AC2DA9">
        <w:rPr>
          <w:b/>
        </w:rPr>
        <w:t>c</w:t>
      </w:r>
      <w:r w:rsidR="00544F32" w:rsidRPr="00AC2DA9">
        <w:rPr>
          <w:b/>
        </w:rPr>
        <w:t>ertificates</w:t>
      </w:r>
    </w:p>
    <w:p w14:paraId="02416233" w14:textId="77777777" w:rsidR="00EC19B1" w:rsidRPr="00AC2DA9" w:rsidRDefault="00EC19B1" w:rsidP="00EC19B1">
      <w:pPr>
        <w:keepNext/>
        <w:keepLines/>
        <w:tabs>
          <w:tab w:val="left" w:pos="720"/>
          <w:tab w:val="left" w:pos="1440"/>
          <w:tab w:val="left" w:pos="2160"/>
          <w:tab w:val="left" w:pos="2880"/>
          <w:tab w:val="left" w:pos="3600"/>
        </w:tabs>
        <w:rPr>
          <w:b/>
        </w:rPr>
      </w:pPr>
    </w:p>
    <w:p w14:paraId="21610304" w14:textId="63554C19" w:rsidR="00EC19B1" w:rsidRPr="00F00206" w:rsidRDefault="00EC19B1" w:rsidP="00EC19B1">
      <w:pPr>
        <w:keepNext/>
        <w:keepLines/>
        <w:tabs>
          <w:tab w:val="left" w:pos="720"/>
          <w:tab w:val="left" w:pos="1440"/>
          <w:tab w:val="left" w:pos="2160"/>
          <w:tab w:val="left" w:pos="2880"/>
          <w:tab w:val="left" w:pos="3600"/>
        </w:tabs>
        <w:ind w:left="2160" w:hanging="2160"/>
      </w:pPr>
      <w:r w:rsidRPr="00AC2DA9">
        <w:rPr>
          <w:b/>
        </w:rPr>
        <w:tab/>
      </w:r>
      <w:r w:rsidRPr="00AC2DA9">
        <w:rPr>
          <w:b/>
        </w:rPr>
        <w:tab/>
        <w:t>1.</w:t>
      </w:r>
      <w:r w:rsidRPr="00AC2DA9">
        <w:rPr>
          <w:b/>
        </w:rPr>
        <w:tab/>
      </w:r>
      <w:r w:rsidRPr="00F00206">
        <w:rPr>
          <w:b/>
        </w:rPr>
        <w:t>Form 706ME</w:t>
      </w:r>
      <w:r w:rsidR="009645DF" w:rsidRPr="00F00206">
        <w:rPr>
          <w:b/>
        </w:rPr>
        <w:t xml:space="preserve">.  </w:t>
      </w:r>
      <w:r w:rsidR="003E1569" w:rsidRPr="00F00206">
        <w:t>If a</w:t>
      </w:r>
      <w:r w:rsidR="00614AA4" w:rsidRPr="00F00206">
        <w:t xml:space="preserve">n estate is required to file a Maine </w:t>
      </w:r>
      <w:r w:rsidR="008C1D40" w:rsidRPr="00F00206">
        <w:t>e</w:t>
      </w:r>
      <w:r w:rsidR="00614AA4" w:rsidRPr="00F00206">
        <w:t xml:space="preserve">state </w:t>
      </w:r>
      <w:r w:rsidR="008C1D40" w:rsidRPr="00F00206">
        <w:t>t</w:t>
      </w:r>
      <w:r w:rsidR="00614AA4" w:rsidRPr="00F00206">
        <w:t>ax return (Form 706ME)</w:t>
      </w:r>
      <w:r w:rsidRPr="00F00206">
        <w:t xml:space="preserve">, </w:t>
      </w:r>
      <w:r w:rsidR="00E94388" w:rsidRPr="00F00206">
        <w:t xml:space="preserve">the </w:t>
      </w:r>
      <w:r w:rsidRPr="00F00206">
        <w:t xml:space="preserve">personal representative must file </w:t>
      </w:r>
      <w:r w:rsidR="00614AA4" w:rsidRPr="00F00206">
        <w:t>the return</w:t>
      </w:r>
      <w:r w:rsidRPr="00F00206">
        <w:t xml:space="preserve"> with required attachments within nine months of the decedent’s date of death, unless an extension of time to file has been granted</w:t>
      </w:r>
      <w:r w:rsidR="0016294C" w:rsidRPr="00F00206">
        <w:t xml:space="preserve"> by Maine Revenue Services</w:t>
      </w:r>
      <w:r w:rsidR="009645DF" w:rsidRPr="00F00206">
        <w:t xml:space="preserve">.  </w:t>
      </w:r>
      <w:r w:rsidR="003E1569" w:rsidRPr="00F00206">
        <w:t>If</w:t>
      </w:r>
      <w:r w:rsidR="00614AA4" w:rsidRPr="00F00206">
        <w:t xml:space="preserve"> </w:t>
      </w:r>
      <w:r w:rsidRPr="00F00206">
        <w:t>the estate is not required to file federal Form 706</w:t>
      </w:r>
      <w:r w:rsidR="00C279D6" w:rsidRPr="00F00206">
        <w:t xml:space="preserve">, but is required to file </w:t>
      </w:r>
      <w:r w:rsidR="003E1569" w:rsidRPr="00F00206">
        <w:t>Form 706ME</w:t>
      </w:r>
      <w:r w:rsidRPr="00F00206">
        <w:t xml:space="preserve">, a pro forma federal Form 706 must be attached to Form 706ME and must include </w:t>
      </w:r>
      <w:proofErr w:type="gramStart"/>
      <w:r w:rsidRPr="00F00206">
        <w:t>all of</w:t>
      </w:r>
      <w:proofErr w:type="gramEnd"/>
      <w:r w:rsidRPr="00F00206">
        <w:t xml:space="preserve"> the information, schedules and attachments that would be required if a federal </w:t>
      </w:r>
      <w:r w:rsidR="0016294C" w:rsidRPr="00F00206">
        <w:t xml:space="preserve">Form 706 </w:t>
      </w:r>
      <w:r w:rsidRPr="00F00206">
        <w:t>was required to be filed.</w:t>
      </w:r>
      <w:r w:rsidR="00614AA4" w:rsidRPr="00F00206">
        <w:t xml:space="preserve">  A personal representative must file a </w:t>
      </w:r>
      <w:r w:rsidR="00896741" w:rsidRPr="00F00206">
        <w:t xml:space="preserve">Form 706ME with a </w:t>
      </w:r>
      <w:r w:rsidR="00614AA4" w:rsidRPr="00F00206">
        <w:t xml:space="preserve">Certificate of Discharge of Estate Tax Lien to request release of the </w:t>
      </w:r>
      <w:r w:rsidR="004E56DA" w:rsidRPr="00F00206">
        <w:t xml:space="preserve">statutory </w:t>
      </w:r>
      <w:r w:rsidR="00C7115F" w:rsidRPr="00F00206">
        <w:t xml:space="preserve">Maine </w:t>
      </w:r>
      <w:r w:rsidR="00614AA4" w:rsidRPr="00F00206">
        <w:t xml:space="preserve">estate tax lien </w:t>
      </w:r>
      <w:r w:rsidR="004B3704" w:rsidRPr="00F00206">
        <w:t xml:space="preserve">under 36 </w:t>
      </w:r>
      <w:r w:rsidR="00C67790" w:rsidRPr="00F00206">
        <w:t>M.R.S.</w:t>
      </w:r>
      <w:r w:rsidR="004B3704" w:rsidRPr="00F00206">
        <w:t xml:space="preserve"> § 4112 </w:t>
      </w:r>
      <w:r w:rsidR="00614AA4" w:rsidRPr="00F00206">
        <w:t>on Maine real property or tangible personal property.</w:t>
      </w:r>
    </w:p>
    <w:p w14:paraId="21BD64AF" w14:textId="77777777" w:rsidR="00EC19B1" w:rsidRPr="00F00206" w:rsidRDefault="00EC19B1" w:rsidP="00EC19B1">
      <w:pPr>
        <w:tabs>
          <w:tab w:val="left" w:pos="720"/>
          <w:tab w:val="left" w:pos="1440"/>
          <w:tab w:val="left" w:pos="2160"/>
          <w:tab w:val="left" w:pos="2880"/>
          <w:tab w:val="left" w:pos="3600"/>
        </w:tabs>
        <w:rPr>
          <w:b/>
        </w:rPr>
      </w:pPr>
    </w:p>
    <w:p w14:paraId="79CC48D7" w14:textId="0879B7DC" w:rsidR="00EC19B1" w:rsidRPr="00F00206" w:rsidRDefault="00EC19B1" w:rsidP="00EC19B1">
      <w:pPr>
        <w:tabs>
          <w:tab w:val="left" w:pos="720"/>
          <w:tab w:val="left" w:pos="1440"/>
          <w:tab w:val="left" w:pos="2160"/>
          <w:tab w:val="left" w:pos="2880"/>
          <w:tab w:val="left" w:pos="3600"/>
        </w:tabs>
        <w:ind w:left="2160" w:hanging="2160"/>
      </w:pPr>
      <w:r w:rsidRPr="00F00206">
        <w:rPr>
          <w:b/>
        </w:rPr>
        <w:tab/>
      </w:r>
      <w:r w:rsidRPr="00F00206">
        <w:rPr>
          <w:b/>
        </w:rPr>
        <w:tab/>
        <w:t>2.</w:t>
      </w:r>
      <w:r w:rsidRPr="00F00206">
        <w:rPr>
          <w:b/>
        </w:rPr>
        <w:tab/>
      </w:r>
      <w:r w:rsidR="00201963" w:rsidRPr="00F00206">
        <w:rPr>
          <w:b/>
        </w:rPr>
        <w:t>Statement</w:t>
      </w:r>
      <w:r w:rsidR="00FC7046" w:rsidRPr="00F00206">
        <w:rPr>
          <w:b/>
        </w:rPr>
        <w:t xml:space="preserve"> 700-SOV.</w:t>
      </w:r>
      <w:r w:rsidR="007C029E" w:rsidRPr="00F00206">
        <w:rPr>
          <w:b/>
        </w:rPr>
        <w:t xml:space="preserve">  </w:t>
      </w:r>
      <w:r w:rsidR="00614AA4" w:rsidRPr="00F00206">
        <w:t xml:space="preserve">Where an estate is not required to file a Maine </w:t>
      </w:r>
      <w:r w:rsidR="008C1D40" w:rsidRPr="00F00206">
        <w:t>e</w:t>
      </w:r>
      <w:r w:rsidR="00614AA4" w:rsidRPr="00F00206">
        <w:t xml:space="preserve">state </w:t>
      </w:r>
      <w:r w:rsidR="008C1D40" w:rsidRPr="00F00206">
        <w:t>t</w:t>
      </w:r>
      <w:r w:rsidR="00614AA4" w:rsidRPr="00F00206">
        <w:t>ax return, t</w:t>
      </w:r>
      <w:r w:rsidRPr="00F00206">
        <w:t xml:space="preserve">he personal representative may </w:t>
      </w:r>
      <w:r w:rsidR="00201963" w:rsidRPr="00F00206">
        <w:t>submit statement</w:t>
      </w:r>
      <w:r w:rsidR="00FC7046" w:rsidRPr="00F00206">
        <w:t xml:space="preserve"> 700-SOV</w:t>
      </w:r>
      <w:r w:rsidRPr="00F00206">
        <w:t xml:space="preserve"> after </w:t>
      </w:r>
      <w:r w:rsidR="00770EA6" w:rsidRPr="00F00206">
        <w:t xml:space="preserve">the </w:t>
      </w:r>
      <w:r w:rsidRPr="00F00206">
        <w:t>date of death</w:t>
      </w:r>
      <w:r w:rsidR="007C029E" w:rsidRPr="00F00206">
        <w:t xml:space="preserve"> and request,</w:t>
      </w:r>
      <w:r w:rsidR="00FA09E4" w:rsidRPr="00F00206">
        <w:t xml:space="preserve"> </w:t>
      </w:r>
      <w:r w:rsidR="008B4C0F" w:rsidRPr="00F00206">
        <w:t>along with a Ce</w:t>
      </w:r>
      <w:r w:rsidRPr="00F00206">
        <w:t xml:space="preserve">rtificate of </w:t>
      </w:r>
      <w:r w:rsidR="008B4C0F" w:rsidRPr="00F00206">
        <w:t>Discharge of Estate Tax L</w:t>
      </w:r>
      <w:r w:rsidRPr="00F00206">
        <w:t xml:space="preserve">ien, the release of the statutory </w:t>
      </w:r>
      <w:r w:rsidR="00C7115F" w:rsidRPr="00F00206">
        <w:t xml:space="preserve">Maine </w:t>
      </w:r>
      <w:r w:rsidRPr="00F00206">
        <w:t xml:space="preserve">estate tax lien </w:t>
      </w:r>
      <w:r w:rsidR="004B3704" w:rsidRPr="00F00206">
        <w:t xml:space="preserve">under 36 </w:t>
      </w:r>
      <w:r w:rsidR="00C67790" w:rsidRPr="00F00206">
        <w:t>M.R.S.</w:t>
      </w:r>
      <w:r w:rsidR="004B3704" w:rsidRPr="00F00206">
        <w:t xml:space="preserve"> § 4112 </w:t>
      </w:r>
      <w:r w:rsidRPr="00F00206">
        <w:t>on real or tangible personal property for estates with no tax liability.</w:t>
      </w:r>
      <w:r w:rsidR="007C029E" w:rsidRPr="00F00206">
        <w:t xml:space="preserve">  </w:t>
      </w:r>
      <w:r w:rsidR="007051D4" w:rsidRPr="00F00206">
        <w:t>This stat</w:t>
      </w:r>
      <w:r w:rsidR="00A46ACF" w:rsidRPr="00F00206">
        <w:t xml:space="preserve">ement does </w:t>
      </w:r>
      <w:r w:rsidR="007D473E" w:rsidRPr="00F00206">
        <w:t xml:space="preserve">not </w:t>
      </w:r>
      <w:r w:rsidR="00A46ACF" w:rsidRPr="00F00206">
        <w:t xml:space="preserve">constitute a return </w:t>
      </w:r>
      <w:r w:rsidR="007051D4" w:rsidRPr="00F00206">
        <w:t xml:space="preserve">and no </w:t>
      </w:r>
      <w:r w:rsidR="00AC78A4" w:rsidRPr="00F00206">
        <w:t xml:space="preserve">Maine estate tax </w:t>
      </w:r>
      <w:r w:rsidR="007051D4" w:rsidRPr="00F00206">
        <w:t>closing letter will be issued.</w:t>
      </w:r>
    </w:p>
    <w:p w14:paraId="2D1353F2" w14:textId="77777777" w:rsidR="00544F32" w:rsidRPr="00AC2DA9" w:rsidRDefault="00544F32" w:rsidP="00EC19B1">
      <w:pPr>
        <w:tabs>
          <w:tab w:val="left" w:pos="720"/>
          <w:tab w:val="left" w:pos="1440"/>
          <w:tab w:val="left" w:pos="2160"/>
          <w:tab w:val="left" w:pos="2880"/>
          <w:tab w:val="left" w:pos="3600"/>
        </w:tabs>
        <w:ind w:left="2160" w:hanging="2160"/>
      </w:pPr>
    </w:p>
    <w:p w14:paraId="59883DDC" w14:textId="23509B41" w:rsidR="00544F32" w:rsidRPr="00F00206" w:rsidRDefault="00544F32" w:rsidP="00544F32">
      <w:pPr>
        <w:tabs>
          <w:tab w:val="left" w:pos="720"/>
          <w:tab w:val="left" w:pos="1440"/>
          <w:tab w:val="left" w:pos="2160"/>
          <w:tab w:val="left" w:pos="2880"/>
          <w:tab w:val="left" w:pos="3600"/>
        </w:tabs>
        <w:ind w:left="2160" w:hanging="2160"/>
      </w:pPr>
      <w:r w:rsidRPr="00AC2DA9">
        <w:rPr>
          <w:b/>
          <w:bCs/>
        </w:rPr>
        <w:tab/>
      </w:r>
      <w:r w:rsidRPr="00AC2DA9">
        <w:rPr>
          <w:b/>
          <w:bCs/>
        </w:rPr>
        <w:tab/>
        <w:t>3.</w:t>
      </w:r>
      <w:r w:rsidRPr="00AC2DA9">
        <w:rPr>
          <w:b/>
          <w:bCs/>
        </w:rPr>
        <w:tab/>
      </w:r>
      <w:r w:rsidRPr="00F00206">
        <w:rPr>
          <w:b/>
          <w:bCs/>
        </w:rPr>
        <w:t xml:space="preserve">Certificates of Discharge of Estate Tax Lien.  </w:t>
      </w:r>
      <w:r w:rsidRPr="00F00206">
        <w:t xml:space="preserve">A personal representative must file a Certificate of Discharge of Estate Tax Lien to request release of the </w:t>
      </w:r>
      <w:r w:rsidR="00870877" w:rsidRPr="00F00206">
        <w:t xml:space="preserve">statutory </w:t>
      </w:r>
      <w:r w:rsidR="00C7115F" w:rsidRPr="00F00206">
        <w:t xml:space="preserve">Maine </w:t>
      </w:r>
      <w:r w:rsidRPr="00F00206">
        <w:t xml:space="preserve">estate tax lien on Maine real property.  A personal </w:t>
      </w:r>
      <w:r w:rsidRPr="00F00206">
        <w:lastRenderedPageBreak/>
        <w:t>representative must file a Certificate of D</w:t>
      </w:r>
      <w:r w:rsidR="008B4C0F" w:rsidRPr="00F00206">
        <w:t>ischarge of Estate Tax Lien on t</w:t>
      </w:r>
      <w:r w:rsidRPr="00F00206">
        <w:t xml:space="preserve">angible </w:t>
      </w:r>
      <w:r w:rsidR="008B4C0F" w:rsidRPr="00F00206">
        <w:t>p</w:t>
      </w:r>
      <w:r w:rsidRPr="00F00206">
        <w:t xml:space="preserve">ersonal </w:t>
      </w:r>
      <w:r w:rsidR="008B4C0F" w:rsidRPr="00F00206">
        <w:t>p</w:t>
      </w:r>
      <w:r w:rsidRPr="00F00206">
        <w:t>roperty to request release of the</w:t>
      </w:r>
      <w:r w:rsidR="00B40DCC" w:rsidRPr="00F00206">
        <w:t xml:space="preserve"> statutory</w:t>
      </w:r>
      <w:r w:rsidRPr="00F00206">
        <w:t xml:space="preserve"> </w:t>
      </w:r>
      <w:r w:rsidR="00C7115F" w:rsidRPr="00F00206">
        <w:t xml:space="preserve">Maine </w:t>
      </w:r>
      <w:r w:rsidRPr="00F00206">
        <w:t>estate tax lien</w:t>
      </w:r>
      <w:r w:rsidR="004B3704" w:rsidRPr="00F00206">
        <w:t xml:space="preserve"> under 36 </w:t>
      </w:r>
      <w:r w:rsidR="00C67790" w:rsidRPr="00F00206">
        <w:t>M.R.S.</w:t>
      </w:r>
      <w:r w:rsidR="004B3704" w:rsidRPr="00F00206">
        <w:t xml:space="preserve"> § 4112</w:t>
      </w:r>
      <w:r w:rsidRPr="00F00206">
        <w:t xml:space="preserve"> on personal property sourced to Maine.</w:t>
      </w:r>
    </w:p>
    <w:p w14:paraId="5AB9FDAF" w14:textId="77777777" w:rsidR="00544F32" w:rsidRPr="00AC2DA9" w:rsidRDefault="00544F32" w:rsidP="00EC19B1">
      <w:pPr>
        <w:tabs>
          <w:tab w:val="left" w:pos="720"/>
          <w:tab w:val="left" w:pos="1440"/>
          <w:tab w:val="left" w:pos="2160"/>
          <w:tab w:val="left" w:pos="2880"/>
          <w:tab w:val="left" w:pos="3600"/>
        </w:tabs>
        <w:ind w:left="2160" w:hanging="2160"/>
      </w:pPr>
    </w:p>
    <w:p w14:paraId="2C45F778" w14:textId="1FAA858D" w:rsidR="00FB2B12" w:rsidRPr="00F00206" w:rsidRDefault="00EC19B1" w:rsidP="00EC19B1">
      <w:pPr>
        <w:tabs>
          <w:tab w:val="left" w:pos="720"/>
          <w:tab w:val="left" w:pos="1440"/>
          <w:tab w:val="left" w:pos="2160"/>
          <w:tab w:val="left" w:pos="2880"/>
          <w:tab w:val="left" w:pos="3600"/>
        </w:tabs>
        <w:spacing w:after="216"/>
        <w:ind w:left="1440" w:hanging="1440"/>
        <w:rPr>
          <w:b/>
        </w:rPr>
      </w:pPr>
      <w:r w:rsidRPr="00AC2DA9">
        <w:tab/>
      </w:r>
      <w:r w:rsidRPr="00AC2DA9">
        <w:rPr>
          <w:b/>
        </w:rPr>
        <w:t>B.</w:t>
      </w:r>
      <w:r w:rsidRPr="00AC2DA9">
        <w:rPr>
          <w:b/>
        </w:rPr>
        <w:tab/>
      </w:r>
      <w:r w:rsidR="00FB2B12" w:rsidRPr="00F00206">
        <w:rPr>
          <w:b/>
          <w:bCs/>
        </w:rPr>
        <w:t xml:space="preserve">Attachments.  </w:t>
      </w:r>
      <w:r w:rsidR="00FB2B12" w:rsidRPr="00F00206">
        <w:t xml:space="preserve">A personal representative must file attachments required by the </w:t>
      </w:r>
      <w:r w:rsidR="0016294C" w:rsidRPr="00F00206">
        <w:t xml:space="preserve">State Tax </w:t>
      </w:r>
      <w:r w:rsidR="00FB2B12" w:rsidRPr="00F00206">
        <w:t>Assessor</w:t>
      </w:r>
      <w:r w:rsidR="0016294C" w:rsidRPr="00F00206">
        <w:t xml:space="preserve"> (“Assessor”)</w:t>
      </w:r>
      <w:r w:rsidR="00FB2B12" w:rsidRPr="00F00206">
        <w:t xml:space="preserve">.  Required attachments may include, but are not limited to, appraisals, wills and trust documents, any estate tax, gift tax, decedent’s income tax or fiduciary income tax return filed with the </w:t>
      </w:r>
      <w:r w:rsidR="00822AFE" w:rsidRPr="00F00206">
        <w:t>Internal Revenue Service (</w:t>
      </w:r>
      <w:r w:rsidR="00E76EE5" w:rsidRPr="00F00206">
        <w:t>“</w:t>
      </w:r>
      <w:r w:rsidR="00FB2B12" w:rsidRPr="00F00206">
        <w:t>IRS</w:t>
      </w:r>
      <w:r w:rsidR="00E76EE5" w:rsidRPr="00F00206">
        <w:t>”</w:t>
      </w:r>
      <w:r w:rsidR="00822AFE" w:rsidRPr="00F00206">
        <w:t>)</w:t>
      </w:r>
      <w:r w:rsidR="00FB2B12" w:rsidRPr="00F00206">
        <w:t xml:space="preserve"> or another state</w:t>
      </w:r>
      <w:r w:rsidR="00A615E8" w:rsidRPr="00F00206">
        <w:t xml:space="preserve"> or jurisdiction</w:t>
      </w:r>
      <w:r w:rsidR="00FB2B12" w:rsidRPr="00F00206">
        <w:t xml:space="preserve">, proof of payment to </w:t>
      </w:r>
      <w:r w:rsidR="00A615E8" w:rsidRPr="00F00206">
        <w:t xml:space="preserve">the IRS or </w:t>
      </w:r>
      <w:r w:rsidR="00FB2B12" w:rsidRPr="00F00206">
        <w:t>another state</w:t>
      </w:r>
      <w:r w:rsidR="00A615E8" w:rsidRPr="00F00206">
        <w:t xml:space="preserve"> or jurisdiction</w:t>
      </w:r>
      <w:r w:rsidR="00FB2B12" w:rsidRPr="00F00206">
        <w:t xml:space="preserve">, any document stating a request for an extension of time to file or pay, </w:t>
      </w:r>
      <w:r w:rsidR="00897E35" w:rsidRPr="00F00206">
        <w:t xml:space="preserve">any applicable </w:t>
      </w:r>
      <w:r w:rsidR="00FB2B12" w:rsidRPr="00F00206">
        <w:t>Life Insurance Statements (federal Form 712), financial statements, pension or annuity plan documents or statements, bank and brokerage statements, and a detailed list of miscellaneous property and documentation of its value.</w:t>
      </w:r>
      <w:r w:rsidR="00A46ACF" w:rsidRPr="00F00206">
        <w:t xml:space="preserve">  Restricted Use Appraisals may not be relied on to establish value.   </w:t>
      </w:r>
    </w:p>
    <w:p w14:paraId="133388B8" w14:textId="3149BC71" w:rsidR="00EC19B1" w:rsidRPr="00F00206" w:rsidRDefault="00FB2B12" w:rsidP="00EC19B1">
      <w:pPr>
        <w:tabs>
          <w:tab w:val="left" w:pos="720"/>
          <w:tab w:val="left" w:pos="1440"/>
          <w:tab w:val="left" w:pos="2160"/>
          <w:tab w:val="left" w:pos="2880"/>
          <w:tab w:val="left" w:pos="3600"/>
        </w:tabs>
        <w:spacing w:after="216"/>
        <w:ind w:left="1440" w:hanging="1440"/>
      </w:pPr>
      <w:r w:rsidRPr="00F00206">
        <w:rPr>
          <w:b/>
        </w:rPr>
        <w:tab/>
        <w:t>C.</w:t>
      </w:r>
      <w:r w:rsidRPr="00F00206">
        <w:rPr>
          <w:b/>
        </w:rPr>
        <w:tab/>
      </w:r>
      <w:r w:rsidR="00EC19B1" w:rsidRPr="00F00206">
        <w:rPr>
          <w:b/>
        </w:rPr>
        <w:t>Payment</w:t>
      </w:r>
      <w:r w:rsidR="009645DF" w:rsidRPr="00F00206">
        <w:rPr>
          <w:b/>
        </w:rPr>
        <w:t xml:space="preserve">.  </w:t>
      </w:r>
      <w:r w:rsidR="00EC19B1" w:rsidRPr="00F00206">
        <w:t>Payment of</w:t>
      </w:r>
      <w:r w:rsidR="003A4DF5" w:rsidRPr="00F00206">
        <w:t xml:space="preserve"> any</w:t>
      </w:r>
      <w:r w:rsidR="00EC19B1" w:rsidRPr="00F00206">
        <w:t xml:space="preserve"> </w:t>
      </w:r>
      <w:r w:rsidR="00C7115F" w:rsidRPr="00F00206">
        <w:t xml:space="preserve">Maine </w:t>
      </w:r>
      <w:r w:rsidR="00EC19B1" w:rsidRPr="00F00206">
        <w:t xml:space="preserve">estate tax due must be paid within </w:t>
      </w:r>
      <w:r w:rsidR="00FC7046" w:rsidRPr="00F00206">
        <w:t>nine</w:t>
      </w:r>
      <w:r w:rsidR="00EC19B1" w:rsidRPr="00F00206">
        <w:t xml:space="preserve"> months of the decedent’s date of death, unless a request for an extension of time to pay has been granted by the Assessor</w:t>
      </w:r>
      <w:r w:rsidR="009645DF" w:rsidRPr="00F00206">
        <w:t>.</w:t>
      </w:r>
      <w:r w:rsidR="00B14B0C" w:rsidRPr="00F00206">
        <w:rPr>
          <w:rStyle w:val="CommentReference"/>
        </w:rPr>
        <w:t xml:space="preserve"> </w:t>
      </w:r>
    </w:p>
    <w:p w14:paraId="3B10B151" w14:textId="5862F5FD" w:rsidR="00EC19B1" w:rsidRPr="00F00206" w:rsidRDefault="00770EA6" w:rsidP="00EC19B1">
      <w:pPr>
        <w:tabs>
          <w:tab w:val="left" w:pos="720"/>
          <w:tab w:val="left" w:pos="1440"/>
          <w:tab w:val="left" w:pos="2160"/>
          <w:tab w:val="left" w:pos="2880"/>
          <w:tab w:val="left" w:pos="3600"/>
        </w:tabs>
        <w:ind w:left="1440" w:hanging="1440"/>
      </w:pPr>
      <w:r w:rsidRPr="00AC2DA9">
        <w:rPr>
          <w:b/>
        </w:rPr>
        <w:tab/>
      </w:r>
      <w:r w:rsidR="00FB2B12" w:rsidRPr="00AC2DA9">
        <w:rPr>
          <w:b/>
        </w:rPr>
        <w:t>D</w:t>
      </w:r>
      <w:r w:rsidR="00EC19B1" w:rsidRPr="00AC2DA9">
        <w:rPr>
          <w:b/>
        </w:rPr>
        <w:t>.</w:t>
      </w:r>
      <w:r w:rsidR="00EC19B1" w:rsidRPr="00AC2DA9">
        <w:rPr>
          <w:b/>
        </w:rPr>
        <w:tab/>
      </w:r>
      <w:r w:rsidR="00EC19B1" w:rsidRPr="00F00206">
        <w:rPr>
          <w:b/>
        </w:rPr>
        <w:t xml:space="preserve">Amended </w:t>
      </w:r>
      <w:r w:rsidR="008C1D40" w:rsidRPr="00F00206">
        <w:rPr>
          <w:b/>
        </w:rPr>
        <w:t>r</w:t>
      </w:r>
      <w:r w:rsidR="00EC19B1" w:rsidRPr="00F00206">
        <w:rPr>
          <w:b/>
        </w:rPr>
        <w:t>eturns</w:t>
      </w:r>
      <w:r w:rsidR="009645DF" w:rsidRPr="00F00206">
        <w:rPr>
          <w:b/>
        </w:rPr>
        <w:t xml:space="preserve">.  </w:t>
      </w:r>
      <w:r w:rsidR="007C26CB" w:rsidRPr="00F00206">
        <w:t xml:space="preserve">If the estate receives, </w:t>
      </w:r>
      <w:r w:rsidR="00EC19B1" w:rsidRPr="00F00206">
        <w:t>or becomes entitled to</w:t>
      </w:r>
      <w:r w:rsidR="007C26CB" w:rsidRPr="00F00206">
        <w:t>,</w:t>
      </w:r>
      <w:r w:rsidR="00EC19B1" w:rsidRPr="00F00206">
        <w:t xml:space="preserve"> additional property that was not shown on the Maine estate tax return, the personal representat</w:t>
      </w:r>
      <w:r w:rsidR="005B12B4" w:rsidRPr="00F00206">
        <w:t xml:space="preserve">ive must file an amended Maine </w:t>
      </w:r>
      <w:r w:rsidR="008C1D40" w:rsidRPr="00F00206">
        <w:t>e</w:t>
      </w:r>
      <w:r w:rsidR="00EC19B1" w:rsidRPr="00F00206">
        <w:t xml:space="preserve">state </w:t>
      </w:r>
      <w:r w:rsidR="008C1D40" w:rsidRPr="00F00206">
        <w:t>t</w:t>
      </w:r>
      <w:r w:rsidR="00EC19B1" w:rsidRPr="00F00206">
        <w:t xml:space="preserve">ax return within </w:t>
      </w:r>
      <w:r w:rsidR="001407A5" w:rsidRPr="00F00206">
        <w:t xml:space="preserve">180 </w:t>
      </w:r>
      <w:r w:rsidR="00EC19B1" w:rsidRPr="00F00206">
        <w:t>days of the receipt of such property, even if the additional property does not result in an increase in the estate’s liability shown on the return</w:t>
      </w:r>
      <w:r w:rsidR="009645DF" w:rsidRPr="00F00206">
        <w:t xml:space="preserve">.  </w:t>
      </w:r>
      <w:r w:rsidR="00EC19B1" w:rsidRPr="00F00206">
        <w:t xml:space="preserve">If </w:t>
      </w:r>
      <w:r w:rsidR="00741C23" w:rsidRPr="00F00206">
        <w:t xml:space="preserve">federal </w:t>
      </w:r>
      <w:r w:rsidR="00EC19B1" w:rsidRPr="00F00206">
        <w:t xml:space="preserve">Form 706 has been audited by the IRS and the IRS changed any item resulting in an increase in the estate’s liability shown on the Maine estate tax return, the personal representative must file an amended Maine estate tax return with a copy of the federal statement of changes </w:t>
      </w:r>
      <w:r w:rsidR="00394F34" w:rsidRPr="00F00206">
        <w:t xml:space="preserve">and federal audit </w:t>
      </w:r>
      <w:r w:rsidR="00EC19B1" w:rsidRPr="00F00206">
        <w:t xml:space="preserve">packet within </w:t>
      </w:r>
      <w:r w:rsidR="001407A5" w:rsidRPr="00F00206">
        <w:t>180</w:t>
      </w:r>
      <w:r w:rsidR="00EC19B1" w:rsidRPr="00F00206">
        <w:t xml:space="preserve"> days of the change.</w:t>
      </w:r>
      <w:r w:rsidR="00642CBB" w:rsidRPr="00F00206">
        <w:t xml:space="preserve">  </w:t>
      </w:r>
      <w:r w:rsidR="00A01A52" w:rsidRPr="00F00206">
        <w:t>W</w:t>
      </w:r>
      <w:r w:rsidR="00CE7C92" w:rsidRPr="00F00206">
        <w:t>he</w:t>
      </w:r>
      <w:r w:rsidR="00A01A52" w:rsidRPr="00F00206">
        <w:t>n</w:t>
      </w:r>
      <w:r w:rsidR="00CE7C92" w:rsidRPr="00F00206">
        <w:t xml:space="preserve"> the federal gross estate has been finally determined by the</w:t>
      </w:r>
      <w:r w:rsidR="005441AC" w:rsidRPr="00F00206">
        <w:t xml:space="preserve"> </w:t>
      </w:r>
      <w:r w:rsidR="00822AFE" w:rsidRPr="00F00206">
        <w:t>IRS</w:t>
      </w:r>
      <w:r w:rsidR="00CE7C92" w:rsidRPr="00F00206">
        <w:t>, a</w:t>
      </w:r>
      <w:r w:rsidR="00642CBB" w:rsidRPr="00F00206">
        <w:t xml:space="preserve"> final determination of the Maine estate tax liability</w:t>
      </w:r>
      <w:r w:rsidRPr="00F00206">
        <w:t xml:space="preserve"> may be made for Maine estate tax purposes</w:t>
      </w:r>
      <w:r w:rsidR="00A01A52" w:rsidRPr="00F00206">
        <w:t>, notwithstanding the statute of limitations, a Maine estate tax closing letter, or any other determination by the Assessor.</w:t>
      </w:r>
    </w:p>
    <w:p w14:paraId="0A6F4C4B" w14:textId="77777777" w:rsidR="00EC19B1" w:rsidRPr="00F00206" w:rsidRDefault="00EC19B1" w:rsidP="00EC19B1">
      <w:pPr>
        <w:tabs>
          <w:tab w:val="left" w:pos="720"/>
          <w:tab w:val="left" w:pos="1440"/>
          <w:tab w:val="left" w:pos="2160"/>
          <w:tab w:val="left" w:pos="2880"/>
          <w:tab w:val="left" w:pos="3600"/>
        </w:tabs>
      </w:pPr>
    </w:p>
    <w:p w14:paraId="6ACE80E2" w14:textId="5908E078" w:rsidR="00EC19B1" w:rsidRPr="00F00206" w:rsidRDefault="00FB2B12" w:rsidP="00EC19B1">
      <w:pPr>
        <w:tabs>
          <w:tab w:val="left" w:pos="720"/>
          <w:tab w:val="left" w:pos="1440"/>
          <w:tab w:val="left" w:pos="2160"/>
          <w:tab w:val="left" w:pos="2880"/>
          <w:tab w:val="left" w:pos="3600"/>
        </w:tabs>
        <w:ind w:left="1440" w:hanging="1440"/>
      </w:pPr>
      <w:r w:rsidRPr="00F00206">
        <w:rPr>
          <w:b/>
        </w:rPr>
        <w:tab/>
        <w:t>E</w:t>
      </w:r>
      <w:r w:rsidR="00EC19B1" w:rsidRPr="00F00206">
        <w:rPr>
          <w:b/>
        </w:rPr>
        <w:t>.</w:t>
      </w:r>
      <w:r w:rsidR="00EC19B1" w:rsidRPr="00F00206">
        <w:rPr>
          <w:b/>
        </w:rPr>
        <w:tab/>
        <w:t xml:space="preserve">Record </w:t>
      </w:r>
      <w:r w:rsidR="008C1D40" w:rsidRPr="00F00206">
        <w:rPr>
          <w:b/>
        </w:rPr>
        <w:t>r</w:t>
      </w:r>
      <w:r w:rsidR="00EC19B1" w:rsidRPr="00F00206">
        <w:rPr>
          <w:b/>
        </w:rPr>
        <w:t xml:space="preserve">etention. </w:t>
      </w:r>
      <w:r w:rsidR="00A01A52" w:rsidRPr="00F00206">
        <w:rPr>
          <w:b/>
        </w:rPr>
        <w:t xml:space="preserve"> </w:t>
      </w:r>
      <w:r w:rsidR="00EC19B1" w:rsidRPr="00F00206">
        <w:t xml:space="preserve">A personal representative must, for Maine estate tax purposes, retain complete records for the same period as required by the Code and </w:t>
      </w:r>
      <w:r w:rsidR="0016294C" w:rsidRPr="00F00206">
        <w:t xml:space="preserve">federal </w:t>
      </w:r>
      <w:r w:rsidR="00EC19B1" w:rsidRPr="00F00206">
        <w:t>regulations for estates that incur a federal estate tax</w:t>
      </w:r>
      <w:r w:rsidR="00E76EE5" w:rsidRPr="00F00206">
        <w:t xml:space="preserve"> liability</w:t>
      </w:r>
      <w:r w:rsidR="00EC19B1" w:rsidRPr="00F00206">
        <w:t>, even if the estate has not incurred a federal estate tax</w:t>
      </w:r>
      <w:r w:rsidR="0016294C" w:rsidRPr="00F00206">
        <w:t xml:space="preserve"> liability</w:t>
      </w:r>
      <w:r w:rsidR="00EC19B1" w:rsidRPr="00F00206">
        <w:t>.</w:t>
      </w:r>
    </w:p>
    <w:p w14:paraId="0F333B51" w14:textId="77777777" w:rsidR="00EC19B1" w:rsidRPr="00AC2DA9" w:rsidRDefault="00EC19B1" w:rsidP="00EC19B1">
      <w:pPr>
        <w:tabs>
          <w:tab w:val="left" w:pos="720"/>
          <w:tab w:val="left" w:pos="1440"/>
          <w:tab w:val="left" w:pos="2160"/>
          <w:tab w:val="left" w:pos="2880"/>
          <w:tab w:val="left" w:pos="3600"/>
        </w:tabs>
        <w:rPr>
          <w:b/>
        </w:rPr>
      </w:pPr>
    </w:p>
    <w:p w14:paraId="3B774467" w14:textId="77777777" w:rsidR="00EC19B1" w:rsidRPr="00AC2DA9" w:rsidRDefault="00FB2B12" w:rsidP="00EC19B1">
      <w:pPr>
        <w:tabs>
          <w:tab w:val="left" w:pos="720"/>
          <w:tab w:val="left" w:pos="1440"/>
          <w:tab w:val="left" w:pos="2160"/>
          <w:tab w:val="left" w:pos="2880"/>
          <w:tab w:val="left" w:pos="3600"/>
        </w:tabs>
      </w:pPr>
      <w:r w:rsidRPr="00AC2DA9">
        <w:rPr>
          <w:b/>
        </w:rPr>
        <w:tab/>
        <w:t>F</w:t>
      </w:r>
      <w:r w:rsidR="00EC19B1" w:rsidRPr="00AC2DA9">
        <w:rPr>
          <w:b/>
        </w:rPr>
        <w:t>.</w:t>
      </w:r>
      <w:r w:rsidR="00EC19B1" w:rsidRPr="00AC2DA9">
        <w:rPr>
          <w:b/>
        </w:rPr>
        <w:tab/>
        <w:t>Extensions</w:t>
      </w:r>
    </w:p>
    <w:p w14:paraId="6988032D" w14:textId="77777777" w:rsidR="00EC19B1" w:rsidRPr="00AC2DA9" w:rsidRDefault="00EC19B1" w:rsidP="00EC19B1">
      <w:pPr>
        <w:tabs>
          <w:tab w:val="left" w:pos="720"/>
          <w:tab w:val="left" w:pos="1440"/>
          <w:tab w:val="left" w:pos="2160"/>
          <w:tab w:val="left" w:pos="2880"/>
          <w:tab w:val="left" w:pos="3600"/>
        </w:tabs>
        <w:rPr>
          <w:b/>
        </w:rPr>
      </w:pPr>
    </w:p>
    <w:p w14:paraId="21EEB46F" w14:textId="1123434F" w:rsidR="00EC19B1" w:rsidRPr="00F00206" w:rsidRDefault="00EC19B1" w:rsidP="00EC19B1">
      <w:pPr>
        <w:tabs>
          <w:tab w:val="left" w:pos="720"/>
          <w:tab w:val="left" w:pos="1440"/>
          <w:tab w:val="left" w:pos="2160"/>
          <w:tab w:val="left" w:pos="2880"/>
          <w:tab w:val="left" w:pos="3600"/>
        </w:tabs>
        <w:ind w:left="2160" w:hanging="2160"/>
      </w:pPr>
      <w:r w:rsidRPr="00AC2DA9">
        <w:rPr>
          <w:b/>
        </w:rPr>
        <w:tab/>
      </w:r>
      <w:r w:rsidRPr="00AC2DA9">
        <w:rPr>
          <w:b/>
        </w:rPr>
        <w:tab/>
        <w:t>1.</w:t>
      </w:r>
      <w:r w:rsidRPr="00AC2DA9">
        <w:rPr>
          <w:b/>
        </w:rPr>
        <w:tab/>
        <w:t xml:space="preserve">Extension </w:t>
      </w:r>
      <w:r w:rsidR="00A615E8" w:rsidRPr="00AC2DA9">
        <w:rPr>
          <w:b/>
        </w:rPr>
        <w:t xml:space="preserve">of </w:t>
      </w:r>
      <w:r w:rsidR="008C1D40" w:rsidRPr="00AC2DA9">
        <w:rPr>
          <w:b/>
        </w:rPr>
        <w:t>t</w:t>
      </w:r>
      <w:r w:rsidR="00A615E8" w:rsidRPr="00AC2DA9">
        <w:rPr>
          <w:b/>
        </w:rPr>
        <w:t xml:space="preserve">ime </w:t>
      </w:r>
      <w:r w:rsidRPr="00AC2DA9">
        <w:rPr>
          <w:b/>
        </w:rPr>
        <w:t xml:space="preserve">to </w:t>
      </w:r>
      <w:r w:rsidR="008C1D40" w:rsidRPr="00AC2DA9">
        <w:rPr>
          <w:b/>
        </w:rPr>
        <w:t>f</w:t>
      </w:r>
      <w:r w:rsidRPr="00AC2DA9">
        <w:rPr>
          <w:b/>
        </w:rPr>
        <w:t>ile</w:t>
      </w:r>
      <w:r w:rsidR="009645DF" w:rsidRPr="00AC2DA9">
        <w:t xml:space="preserve">.  </w:t>
      </w:r>
      <w:r w:rsidRPr="00AC2DA9">
        <w:t xml:space="preserve">The Assessor may allow a reasonable extension </w:t>
      </w:r>
      <w:r w:rsidR="00A615E8" w:rsidRPr="00AC2DA9">
        <w:t xml:space="preserve">of time to file the Maine estate tax return </w:t>
      </w:r>
      <w:r w:rsidRPr="00AC2DA9">
        <w:t xml:space="preserve">up to eight months from the </w:t>
      </w:r>
      <w:r w:rsidR="00A01A52" w:rsidRPr="00AC2DA9">
        <w:t xml:space="preserve">original due </w:t>
      </w:r>
      <w:r w:rsidRPr="00AC2DA9">
        <w:t>date</w:t>
      </w:r>
      <w:r w:rsidR="00A01A52" w:rsidRPr="00AC2DA9">
        <w:t>,</w:t>
      </w:r>
      <w:r w:rsidRPr="00AC2DA9">
        <w:t xml:space="preserve"> </w:t>
      </w:r>
      <w:proofErr w:type="gramStart"/>
      <w:r w:rsidRPr="00AC2DA9">
        <w:t>as long as</w:t>
      </w:r>
      <w:proofErr w:type="gramEnd"/>
      <w:r w:rsidRPr="00AC2DA9">
        <w:t xml:space="preserve"> a payment reasonably estimating the tax due has been submitted on or before the original due date</w:t>
      </w:r>
      <w:r w:rsidR="009645DF" w:rsidRPr="00AC2DA9">
        <w:t xml:space="preserve">.  </w:t>
      </w:r>
      <w:r w:rsidRPr="00AC2DA9">
        <w:t xml:space="preserve">A payment of at least 90% of the </w:t>
      </w:r>
      <w:r w:rsidR="00733412" w:rsidRPr="00AC2DA9">
        <w:t xml:space="preserve">Maine estate </w:t>
      </w:r>
      <w:r w:rsidRPr="00AC2DA9">
        <w:t>tax due must be submitted to avoid late payment penalties</w:t>
      </w:r>
      <w:r w:rsidR="009645DF" w:rsidRPr="00AC2DA9">
        <w:t xml:space="preserve">.  </w:t>
      </w:r>
      <w:r w:rsidRPr="00AC2DA9">
        <w:t xml:space="preserve">If a federal extension to file has been granted, a Maine </w:t>
      </w:r>
      <w:r w:rsidRPr="00F00206">
        <w:lastRenderedPageBreak/>
        <w:t>extension to file is automatically granted equal to the federal extension period</w:t>
      </w:r>
      <w:r w:rsidR="009645DF" w:rsidRPr="00F00206">
        <w:t xml:space="preserve">.  </w:t>
      </w:r>
      <w:r w:rsidRPr="00F00206">
        <w:t>If the federal extension that was granted is less than eight months, the Assessor may allow an extension up to a total of eight months upon the written request of the personal representative stating the reason for the extension request</w:t>
      </w:r>
      <w:r w:rsidR="009645DF" w:rsidRPr="00F00206">
        <w:t xml:space="preserve">.  </w:t>
      </w:r>
      <w:r w:rsidRPr="00F00206">
        <w:t xml:space="preserve">If a federal estate tax return is not required, the Assessor may allow a reasonable extension up to eight months from the </w:t>
      </w:r>
      <w:r w:rsidR="00A01A52" w:rsidRPr="00F00206">
        <w:t xml:space="preserve">original due date </w:t>
      </w:r>
      <w:r w:rsidR="00896741" w:rsidRPr="00F00206">
        <w:t xml:space="preserve">without extension </w:t>
      </w:r>
      <w:r w:rsidRPr="00F00206">
        <w:t>upon written request of the personal representative.</w:t>
      </w:r>
      <w:r w:rsidR="00614AA4" w:rsidRPr="00F00206">
        <w:t xml:space="preserve">  </w:t>
      </w:r>
      <w:r w:rsidR="00896741" w:rsidRPr="00F00206">
        <w:t xml:space="preserve">If </w:t>
      </w:r>
      <w:r w:rsidR="00614AA4" w:rsidRPr="00F00206">
        <w:t xml:space="preserve">the required </w:t>
      </w:r>
      <w:r w:rsidR="0016294C" w:rsidRPr="00F00206">
        <w:t xml:space="preserve">Maine estate tax </w:t>
      </w:r>
      <w:r w:rsidR="00614AA4" w:rsidRPr="00F00206">
        <w:t>return is not filed by the time the extension period expir</w:t>
      </w:r>
      <w:r w:rsidR="00253814" w:rsidRPr="00F00206">
        <w:t>es</w:t>
      </w:r>
      <w:r w:rsidR="007F19FE" w:rsidRPr="00F00206">
        <w:t>,</w:t>
      </w:r>
      <w:r w:rsidR="00A01A52" w:rsidRPr="00F00206">
        <w:t xml:space="preserve"> </w:t>
      </w:r>
      <w:r w:rsidR="00F52895" w:rsidRPr="00F00206">
        <w:t>a</w:t>
      </w:r>
      <w:r w:rsidR="007F19FE" w:rsidRPr="00F00206">
        <w:t>pplicable p</w:t>
      </w:r>
      <w:r w:rsidR="00253814" w:rsidRPr="00F00206">
        <w:t xml:space="preserve">enalties are calculated as if the </w:t>
      </w:r>
      <w:r w:rsidR="0016294C" w:rsidRPr="00F00206">
        <w:t xml:space="preserve">Maine estate tax </w:t>
      </w:r>
      <w:r w:rsidR="00253814" w:rsidRPr="00F00206">
        <w:t>return was due on the original due date without extension.</w:t>
      </w:r>
    </w:p>
    <w:p w14:paraId="5D8CCD0E" w14:textId="77777777" w:rsidR="00EC19B1" w:rsidRPr="00AC2DA9" w:rsidRDefault="00EC19B1" w:rsidP="00EC19B1">
      <w:pPr>
        <w:tabs>
          <w:tab w:val="left" w:pos="720"/>
          <w:tab w:val="left" w:pos="1440"/>
          <w:tab w:val="left" w:pos="2160"/>
          <w:tab w:val="left" w:pos="2880"/>
          <w:tab w:val="left" w:pos="3600"/>
        </w:tabs>
      </w:pPr>
    </w:p>
    <w:p w14:paraId="7DA37DE8" w14:textId="77777777" w:rsidR="00EC19B1" w:rsidRPr="00AC2DA9" w:rsidRDefault="00EC19B1" w:rsidP="00EC19B1">
      <w:pPr>
        <w:tabs>
          <w:tab w:val="left" w:pos="720"/>
          <w:tab w:val="left" w:pos="1440"/>
          <w:tab w:val="left" w:pos="2160"/>
          <w:tab w:val="left" w:pos="2880"/>
          <w:tab w:val="left" w:pos="3600"/>
        </w:tabs>
        <w:ind w:left="2160" w:hanging="2160"/>
      </w:pPr>
      <w:r w:rsidRPr="00AC2DA9">
        <w:rPr>
          <w:b/>
        </w:rPr>
        <w:tab/>
      </w:r>
      <w:r w:rsidRPr="00AC2DA9">
        <w:rPr>
          <w:b/>
        </w:rPr>
        <w:tab/>
        <w:t>2.</w:t>
      </w:r>
      <w:r w:rsidRPr="00AC2DA9">
        <w:rPr>
          <w:b/>
        </w:rPr>
        <w:tab/>
        <w:t xml:space="preserve">Extension </w:t>
      </w:r>
      <w:r w:rsidR="00A615E8" w:rsidRPr="00AC2DA9">
        <w:rPr>
          <w:b/>
        </w:rPr>
        <w:t xml:space="preserve">of </w:t>
      </w:r>
      <w:r w:rsidR="008C1D40" w:rsidRPr="00AC2DA9">
        <w:rPr>
          <w:b/>
        </w:rPr>
        <w:t>t</w:t>
      </w:r>
      <w:r w:rsidR="00A615E8" w:rsidRPr="00AC2DA9">
        <w:rPr>
          <w:b/>
        </w:rPr>
        <w:t xml:space="preserve">ime </w:t>
      </w:r>
      <w:r w:rsidRPr="00AC2DA9">
        <w:rPr>
          <w:b/>
        </w:rPr>
        <w:t xml:space="preserve">to </w:t>
      </w:r>
      <w:r w:rsidR="008C1D40" w:rsidRPr="00AC2DA9">
        <w:rPr>
          <w:b/>
        </w:rPr>
        <w:t>p</w:t>
      </w:r>
      <w:r w:rsidRPr="00AC2DA9">
        <w:rPr>
          <w:b/>
        </w:rPr>
        <w:t>ay</w:t>
      </w:r>
      <w:r w:rsidR="009645DF" w:rsidRPr="00AC2DA9">
        <w:t xml:space="preserve">.  </w:t>
      </w:r>
      <w:proofErr w:type="gramStart"/>
      <w:r w:rsidRPr="00AC2DA9">
        <w:t>In order to</w:t>
      </w:r>
      <w:proofErr w:type="gramEnd"/>
      <w:r w:rsidRPr="00AC2DA9">
        <w:t xml:space="preserve"> receive an extension </w:t>
      </w:r>
      <w:r w:rsidR="00A615E8" w:rsidRPr="00AC2DA9">
        <w:t xml:space="preserve">of time </w:t>
      </w:r>
      <w:r w:rsidRPr="00AC2DA9">
        <w:t>to pay</w:t>
      </w:r>
      <w:r w:rsidR="00A615E8" w:rsidRPr="00AC2DA9">
        <w:t xml:space="preserve"> the Maine estate tax</w:t>
      </w:r>
      <w:r w:rsidRPr="00AC2DA9">
        <w:t>, the personal representative must request an extension in writing and show that the estate has an inability to pay by the original due date</w:t>
      </w:r>
      <w:r w:rsidR="009645DF" w:rsidRPr="00AC2DA9">
        <w:t xml:space="preserve">.  </w:t>
      </w:r>
      <w:r w:rsidRPr="00AC2DA9">
        <w:t>The Assessor may mandate a bond or other security</w:t>
      </w:r>
      <w:r w:rsidR="009645DF" w:rsidRPr="00AC2DA9">
        <w:t xml:space="preserve">.  </w:t>
      </w:r>
      <w:r w:rsidR="002F45F2" w:rsidRPr="00AC2DA9">
        <w:t xml:space="preserve">An extension of time to pay may be granted pursuant to 36 </w:t>
      </w:r>
      <w:r w:rsidR="00C67790" w:rsidRPr="00AC2DA9">
        <w:t>M.R.S.</w:t>
      </w:r>
      <w:r w:rsidR="002F45F2" w:rsidRPr="00AC2DA9">
        <w:t xml:space="preserve"> § 4108 for a reasonable </w:t>
      </w:r>
      <w:proofErr w:type="gramStart"/>
      <w:r w:rsidR="002F45F2" w:rsidRPr="00AC2DA9">
        <w:t>period of time</w:t>
      </w:r>
      <w:proofErr w:type="gramEnd"/>
      <w:r w:rsidR="002F45F2" w:rsidRPr="00AC2DA9">
        <w:t xml:space="preserve"> not to exceed one year from the date fixed for payment.  The Assessor may grant successive extensions which in the aggregate may not exceed </w:t>
      </w:r>
      <w:r w:rsidR="00DA281B" w:rsidRPr="00AC2DA9">
        <w:t xml:space="preserve">ten </w:t>
      </w:r>
      <w:r w:rsidR="002F45F2" w:rsidRPr="00AC2DA9">
        <w:t xml:space="preserve">years unless a deferred payment arrangement is made under 36 </w:t>
      </w:r>
      <w:r w:rsidR="00C67790" w:rsidRPr="00AC2DA9">
        <w:t>M.R.S.</w:t>
      </w:r>
      <w:r w:rsidR="002F45F2" w:rsidRPr="00AC2DA9">
        <w:t xml:space="preserve"> § 4109.  </w:t>
      </w:r>
      <w:r w:rsidRPr="00AC2DA9">
        <w:t>Interest accrues on any amount of tax not paid by the original due date.</w:t>
      </w:r>
    </w:p>
    <w:p w14:paraId="042215BC" w14:textId="77777777" w:rsidR="00EC19B1" w:rsidRPr="00AC2DA9" w:rsidRDefault="00EC19B1" w:rsidP="00EC19B1">
      <w:pPr>
        <w:tabs>
          <w:tab w:val="left" w:pos="720"/>
          <w:tab w:val="left" w:pos="1440"/>
          <w:tab w:val="left" w:pos="2160"/>
          <w:tab w:val="left" w:pos="2880"/>
          <w:tab w:val="left" w:pos="3600"/>
        </w:tabs>
        <w:rPr>
          <w:b/>
        </w:rPr>
      </w:pPr>
    </w:p>
    <w:p w14:paraId="2AA888DE" w14:textId="5BBB7C1D" w:rsidR="00EC19B1" w:rsidRPr="00F00206" w:rsidRDefault="00FB2B12" w:rsidP="00EC19B1">
      <w:pPr>
        <w:tabs>
          <w:tab w:val="left" w:pos="720"/>
          <w:tab w:val="left" w:pos="1440"/>
          <w:tab w:val="left" w:pos="2160"/>
          <w:tab w:val="left" w:pos="2880"/>
          <w:tab w:val="left" w:pos="3600"/>
        </w:tabs>
        <w:ind w:left="1440" w:hanging="1440"/>
      </w:pPr>
      <w:r w:rsidRPr="00AC2DA9">
        <w:rPr>
          <w:b/>
        </w:rPr>
        <w:tab/>
        <w:t>G</w:t>
      </w:r>
      <w:r w:rsidR="00EC19B1" w:rsidRPr="00AC2DA9">
        <w:rPr>
          <w:b/>
        </w:rPr>
        <w:t>.</w:t>
      </w:r>
      <w:r w:rsidR="00EC19B1" w:rsidRPr="00AC2DA9">
        <w:rPr>
          <w:b/>
        </w:rPr>
        <w:tab/>
      </w:r>
      <w:r w:rsidR="00EC19B1" w:rsidRPr="00F00206">
        <w:rPr>
          <w:b/>
        </w:rPr>
        <w:t xml:space="preserve">Escrow </w:t>
      </w:r>
      <w:r w:rsidR="008C1D40" w:rsidRPr="00F00206">
        <w:rPr>
          <w:b/>
        </w:rPr>
        <w:t>a</w:t>
      </w:r>
      <w:r w:rsidR="00EC19B1" w:rsidRPr="00F00206">
        <w:rPr>
          <w:b/>
        </w:rPr>
        <w:t>greements</w:t>
      </w:r>
      <w:r w:rsidR="009645DF" w:rsidRPr="00F00206">
        <w:rPr>
          <w:b/>
        </w:rPr>
        <w:t xml:space="preserve">.  </w:t>
      </w:r>
      <w:r w:rsidR="00E64571" w:rsidRPr="00F00206">
        <w:t xml:space="preserve">At the </w:t>
      </w:r>
      <w:r w:rsidR="00EC19B1" w:rsidRPr="00F00206">
        <w:t>request of the personal representative, the Assessor may allow</w:t>
      </w:r>
      <w:r w:rsidR="00C75D38" w:rsidRPr="00F00206">
        <w:t>, under terms the Assessor may require,</w:t>
      </w:r>
      <w:r w:rsidR="00EC19B1" w:rsidRPr="00F00206">
        <w:t xml:space="preserve"> an estate to establish an escrow account in favor of Maine Revenue Services in lieu of the tax bond typically required by the probate court to secure the estimated </w:t>
      </w:r>
      <w:r w:rsidR="00C7115F" w:rsidRPr="00F00206">
        <w:t xml:space="preserve">Maine </w:t>
      </w:r>
      <w:r w:rsidR="00EC19B1" w:rsidRPr="00F00206">
        <w:t>estate tax liability</w:t>
      </w:r>
      <w:r w:rsidR="00A03626" w:rsidRPr="00F00206">
        <w:t xml:space="preserve"> or in exchange for the discharge of the </w:t>
      </w:r>
      <w:r w:rsidR="00C7115F" w:rsidRPr="00F00206">
        <w:t xml:space="preserve">Maine </w:t>
      </w:r>
      <w:r w:rsidR="00A03626" w:rsidRPr="00F00206">
        <w:t>estate tax lien on estate property so that the property may be sold to pay the Maine estate tax.</w:t>
      </w:r>
    </w:p>
    <w:p w14:paraId="1E976FA3" w14:textId="77777777" w:rsidR="00EC19B1" w:rsidRPr="00F00206" w:rsidRDefault="00EC19B1" w:rsidP="00EC19B1">
      <w:pPr>
        <w:tabs>
          <w:tab w:val="left" w:pos="720"/>
          <w:tab w:val="left" w:pos="1440"/>
          <w:tab w:val="left" w:pos="2160"/>
          <w:tab w:val="left" w:pos="2880"/>
          <w:tab w:val="left" w:pos="3600"/>
        </w:tabs>
        <w:rPr>
          <w:b/>
        </w:rPr>
      </w:pPr>
    </w:p>
    <w:p w14:paraId="32A28287" w14:textId="77777777" w:rsidR="0062452D" w:rsidRPr="00AC2DA9" w:rsidRDefault="0062452D" w:rsidP="00EC19B1">
      <w:pPr>
        <w:tabs>
          <w:tab w:val="left" w:pos="720"/>
          <w:tab w:val="left" w:pos="1440"/>
          <w:tab w:val="left" w:pos="2160"/>
          <w:tab w:val="left" w:pos="2880"/>
          <w:tab w:val="left" w:pos="3600"/>
        </w:tabs>
        <w:rPr>
          <w:b/>
        </w:rPr>
      </w:pPr>
    </w:p>
    <w:p w14:paraId="1F76455E" w14:textId="77777777" w:rsidR="00EC19B1" w:rsidRPr="00AC2DA9" w:rsidRDefault="00EC19B1" w:rsidP="00EC19B1">
      <w:pPr>
        <w:tabs>
          <w:tab w:val="left" w:pos="720"/>
          <w:tab w:val="left" w:pos="1440"/>
          <w:tab w:val="left" w:pos="2160"/>
          <w:tab w:val="left" w:pos="2880"/>
          <w:tab w:val="left" w:pos="3600"/>
        </w:tabs>
        <w:rPr>
          <w:b/>
        </w:rPr>
      </w:pPr>
      <w:r w:rsidRPr="00AC2DA9">
        <w:rPr>
          <w:b/>
        </w:rPr>
        <w:t>.04</w:t>
      </w:r>
      <w:r w:rsidRPr="00AC2DA9">
        <w:rPr>
          <w:b/>
        </w:rPr>
        <w:tab/>
        <w:t>Administrative expenses</w:t>
      </w:r>
    </w:p>
    <w:p w14:paraId="174FF633" w14:textId="77777777" w:rsidR="00EC19B1" w:rsidRPr="00AC2DA9" w:rsidRDefault="00EC19B1" w:rsidP="00EC19B1">
      <w:pPr>
        <w:tabs>
          <w:tab w:val="left" w:pos="720"/>
          <w:tab w:val="left" w:pos="1440"/>
          <w:tab w:val="left" w:pos="2160"/>
          <w:tab w:val="left" w:pos="2880"/>
          <w:tab w:val="left" w:pos="3600"/>
        </w:tabs>
        <w:rPr>
          <w:b/>
        </w:rPr>
      </w:pPr>
    </w:p>
    <w:p w14:paraId="71A4CE34" w14:textId="77777777" w:rsidR="00EC19B1" w:rsidRPr="00AC2DA9" w:rsidRDefault="00EC19B1" w:rsidP="00EC19B1">
      <w:pPr>
        <w:tabs>
          <w:tab w:val="left" w:pos="720"/>
          <w:tab w:val="left" w:pos="2160"/>
          <w:tab w:val="left" w:pos="2880"/>
          <w:tab w:val="left" w:pos="3600"/>
        </w:tabs>
        <w:ind w:left="720" w:hanging="720"/>
        <w:rPr>
          <w:b/>
        </w:rPr>
      </w:pPr>
      <w:r w:rsidRPr="00AC2DA9">
        <w:rPr>
          <w:b/>
        </w:rPr>
        <w:tab/>
      </w:r>
      <w:r w:rsidRPr="00AC2DA9">
        <w:t xml:space="preserve">If a </w:t>
      </w:r>
      <w:r w:rsidR="008C1D40" w:rsidRPr="00AC2DA9">
        <w:t>g</w:t>
      </w:r>
      <w:r w:rsidR="002731D0" w:rsidRPr="00AC2DA9">
        <w:t xml:space="preserve">ap </w:t>
      </w:r>
      <w:r w:rsidRPr="00AC2DA9">
        <w:t xml:space="preserve">estate </w:t>
      </w:r>
      <w:r w:rsidR="003204BE" w:rsidRPr="00AC2DA9">
        <w:t>included</w:t>
      </w:r>
      <w:r w:rsidRPr="00AC2DA9">
        <w:t xml:space="preserve"> administrative expenses in the calculation of the pro forma federal Form 706</w:t>
      </w:r>
      <w:r w:rsidR="00DD45AB" w:rsidRPr="00AC2DA9">
        <w:t>,</w:t>
      </w:r>
      <w:r w:rsidRPr="00AC2DA9">
        <w:t xml:space="preserve"> </w:t>
      </w:r>
      <w:r w:rsidR="003204BE" w:rsidRPr="00AC2DA9">
        <w:t xml:space="preserve">and those expenses </w:t>
      </w:r>
      <w:r w:rsidRPr="00AC2DA9">
        <w:t xml:space="preserve">are also </w:t>
      </w:r>
      <w:r w:rsidR="00C75D38" w:rsidRPr="00AC2DA9">
        <w:t xml:space="preserve">deducted on the estate’s </w:t>
      </w:r>
      <w:r w:rsidRPr="00AC2DA9">
        <w:t>federal fiduciary</w:t>
      </w:r>
      <w:r w:rsidR="00C75D38" w:rsidRPr="00AC2DA9">
        <w:t xml:space="preserve"> income tax</w:t>
      </w:r>
      <w:r w:rsidRPr="00AC2DA9">
        <w:t xml:space="preserve"> return</w:t>
      </w:r>
      <w:r w:rsidR="00771C7C" w:rsidRPr="00AC2DA9">
        <w:t xml:space="preserve"> (Form 1041)</w:t>
      </w:r>
      <w:r w:rsidRPr="00AC2DA9">
        <w:t xml:space="preserve">, the estate must make an addition modification </w:t>
      </w:r>
      <w:r w:rsidR="00A87FDB" w:rsidRPr="00AC2DA9">
        <w:t>on the Maine fiduciary income tax return (Form 1041ME)</w:t>
      </w:r>
      <w:r w:rsidR="00DD45AB" w:rsidRPr="00AC2DA9">
        <w:t>.  The addition modification must</w:t>
      </w:r>
      <w:r w:rsidR="00A87FDB" w:rsidRPr="00AC2DA9">
        <w:t xml:space="preserve"> </w:t>
      </w:r>
      <w:r w:rsidRPr="00AC2DA9">
        <w:t xml:space="preserve">equal the administrative </w:t>
      </w:r>
      <w:r w:rsidR="00DD45AB" w:rsidRPr="00AC2DA9">
        <w:t xml:space="preserve">expenses deducted </w:t>
      </w:r>
      <w:r w:rsidR="003204BE" w:rsidRPr="00AC2DA9">
        <w:t xml:space="preserve">on </w:t>
      </w:r>
      <w:r w:rsidR="00A87FDB" w:rsidRPr="00AC2DA9">
        <w:t xml:space="preserve">federal </w:t>
      </w:r>
      <w:r w:rsidR="003204BE" w:rsidRPr="00AC2DA9">
        <w:t>F</w:t>
      </w:r>
      <w:r w:rsidR="00A87FDB" w:rsidRPr="00AC2DA9">
        <w:t>orm</w:t>
      </w:r>
      <w:r w:rsidR="003204BE" w:rsidRPr="00AC2DA9">
        <w:t xml:space="preserve"> 1041</w:t>
      </w:r>
      <w:r w:rsidR="00DD45AB" w:rsidRPr="00AC2DA9">
        <w:t xml:space="preserve"> that are also deducted on the pro forma federal Form 706</w:t>
      </w:r>
      <w:r w:rsidRPr="00AC2DA9">
        <w:t>.</w:t>
      </w:r>
    </w:p>
    <w:p w14:paraId="5A878C43" w14:textId="77777777" w:rsidR="00EC19B1" w:rsidRPr="00AC2DA9" w:rsidRDefault="00EC19B1" w:rsidP="00EC19B1">
      <w:pPr>
        <w:tabs>
          <w:tab w:val="left" w:pos="720"/>
          <w:tab w:val="left" w:pos="1440"/>
          <w:tab w:val="left" w:pos="2160"/>
          <w:tab w:val="left" w:pos="2880"/>
          <w:tab w:val="left" w:pos="3600"/>
        </w:tabs>
        <w:rPr>
          <w:b/>
        </w:rPr>
      </w:pPr>
    </w:p>
    <w:p w14:paraId="1D1CCB6C" w14:textId="77777777" w:rsidR="0062452D" w:rsidRPr="00AC2DA9" w:rsidRDefault="0062452D" w:rsidP="00EC19B1">
      <w:pPr>
        <w:tabs>
          <w:tab w:val="left" w:pos="720"/>
          <w:tab w:val="left" w:pos="1440"/>
          <w:tab w:val="left" w:pos="2160"/>
          <w:tab w:val="left" w:pos="2880"/>
          <w:tab w:val="left" w:pos="3600"/>
        </w:tabs>
        <w:rPr>
          <w:b/>
        </w:rPr>
      </w:pPr>
    </w:p>
    <w:p w14:paraId="74B4A2FB" w14:textId="77777777" w:rsidR="00EC19B1" w:rsidRPr="00AC2DA9" w:rsidRDefault="00EC19B1" w:rsidP="00EC19B1">
      <w:pPr>
        <w:tabs>
          <w:tab w:val="left" w:pos="720"/>
          <w:tab w:val="left" w:pos="1440"/>
          <w:tab w:val="left" w:pos="2160"/>
          <w:tab w:val="left" w:pos="2880"/>
          <w:tab w:val="left" w:pos="3600"/>
        </w:tabs>
        <w:rPr>
          <w:b/>
        </w:rPr>
      </w:pPr>
      <w:r w:rsidRPr="00AC2DA9">
        <w:rPr>
          <w:b/>
        </w:rPr>
        <w:t>.05</w:t>
      </w:r>
      <w:r w:rsidRPr="00AC2DA9">
        <w:rPr>
          <w:b/>
        </w:rPr>
        <w:tab/>
        <w:t>Gifts</w:t>
      </w:r>
    </w:p>
    <w:p w14:paraId="50DD7297" w14:textId="77777777" w:rsidR="00EC19B1" w:rsidRPr="00AC2DA9" w:rsidRDefault="00EC19B1" w:rsidP="00EC19B1">
      <w:pPr>
        <w:tabs>
          <w:tab w:val="left" w:pos="720"/>
          <w:tab w:val="left" w:pos="1440"/>
          <w:tab w:val="left" w:pos="2160"/>
          <w:tab w:val="left" w:pos="2880"/>
          <w:tab w:val="left" w:pos="3600"/>
        </w:tabs>
        <w:rPr>
          <w:b/>
        </w:rPr>
      </w:pPr>
    </w:p>
    <w:p w14:paraId="5A81EAFD" w14:textId="77777777" w:rsidR="00EC19B1" w:rsidRPr="00AC2DA9" w:rsidRDefault="00EC19B1" w:rsidP="00EC19B1">
      <w:pPr>
        <w:tabs>
          <w:tab w:val="left" w:pos="720"/>
          <w:tab w:val="left" w:pos="1440"/>
          <w:tab w:val="left" w:pos="2160"/>
          <w:tab w:val="left" w:pos="2880"/>
          <w:tab w:val="left" w:pos="3600"/>
        </w:tabs>
        <w:ind w:left="720" w:hanging="720"/>
      </w:pPr>
      <w:r w:rsidRPr="00AC2DA9">
        <w:rPr>
          <w:b/>
        </w:rPr>
        <w:tab/>
      </w:r>
      <w:r w:rsidR="002731D0" w:rsidRPr="00AC2DA9">
        <w:t xml:space="preserve">The Assessor </w:t>
      </w:r>
      <w:r w:rsidRPr="00AC2DA9">
        <w:t xml:space="preserve">will disregard a gift and treat the decedent as the owner of the property where a gift has not been completed, incidents of ownership were retained by the decedent or where the gift otherwise would be disregarded under the Code, federal </w:t>
      </w:r>
      <w:r w:rsidRPr="00AC2DA9">
        <w:lastRenderedPageBreak/>
        <w:t xml:space="preserve">regulations, or </w:t>
      </w:r>
      <w:r w:rsidR="00184B74" w:rsidRPr="00AC2DA9">
        <w:t xml:space="preserve">IRS procedure or </w:t>
      </w:r>
      <w:r w:rsidRPr="00AC2DA9">
        <w:t>policy.  In addition, where the decedent, within one year prior to the date of death, made taxable gifts as defined under the Code, the value of those taxable gifts will be included in the decedent’s estate</w:t>
      </w:r>
      <w:r w:rsidR="00206AB5" w:rsidRPr="00AC2DA9">
        <w:t xml:space="preserve"> in accordance with </w:t>
      </w:r>
      <w:r w:rsidR="00670A7F" w:rsidRPr="00AC2DA9">
        <w:t xml:space="preserve">36 </w:t>
      </w:r>
      <w:r w:rsidR="00C67790" w:rsidRPr="00AC2DA9">
        <w:t>M.R.S.</w:t>
      </w:r>
      <w:r w:rsidR="00670A7F" w:rsidRPr="00AC2DA9">
        <w:t xml:space="preserve"> </w:t>
      </w:r>
      <w:r w:rsidR="00206AB5" w:rsidRPr="00AC2DA9">
        <w:t>§ 4102</w:t>
      </w:r>
      <w:r w:rsidRPr="00AC2DA9">
        <w:t xml:space="preserve">.  </w:t>
      </w:r>
      <w:r w:rsidR="0089170E" w:rsidRPr="00AC2DA9">
        <w:t xml:space="preserve">The value of taxable gifts is determined by the Assessor in accordance with the Code.  </w:t>
      </w:r>
      <w:r w:rsidRPr="00AC2DA9">
        <w:t xml:space="preserve"> </w:t>
      </w:r>
    </w:p>
    <w:p w14:paraId="4520C779" w14:textId="77777777" w:rsidR="00EC19B1" w:rsidRPr="00AC2DA9" w:rsidRDefault="00EC19B1" w:rsidP="00EC19B1">
      <w:pPr>
        <w:tabs>
          <w:tab w:val="left" w:pos="720"/>
          <w:tab w:val="left" w:pos="1440"/>
          <w:tab w:val="left" w:pos="2160"/>
          <w:tab w:val="left" w:pos="2880"/>
          <w:tab w:val="left" w:pos="3600"/>
        </w:tabs>
        <w:rPr>
          <w:b/>
        </w:rPr>
      </w:pPr>
    </w:p>
    <w:p w14:paraId="15914573" w14:textId="77777777" w:rsidR="005B0C1B" w:rsidRPr="00AC2DA9" w:rsidRDefault="005B0C1B" w:rsidP="00EC19B1">
      <w:pPr>
        <w:tabs>
          <w:tab w:val="left" w:pos="720"/>
          <w:tab w:val="left" w:pos="1440"/>
          <w:tab w:val="left" w:pos="2160"/>
          <w:tab w:val="left" w:pos="2880"/>
          <w:tab w:val="left" w:pos="3600"/>
        </w:tabs>
        <w:rPr>
          <w:b/>
        </w:rPr>
      </w:pPr>
    </w:p>
    <w:p w14:paraId="0122141D" w14:textId="77777777" w:rsidR="00EC19B1" w:rsidRPr="00AC2DA9" w:rsidRDefault="00EC19B1" w:rsidP="00EC19B1">
      <w:pPr>
        <w:tabs>
          <w:tab w:val="left" w:pos="720"/>
          <w:tab w:val="left" w:pos="1440"/>
          <w:tab w:val="left" w:pos="2160"/>
          <w:tab w:val="left" w:pos="2880"/>
          <w:tab w:val="left" w:pos="3600"/>
        </w:tabs>
        <w:rPr>
          <w:b/>
        </w:rPr>
      </w:pPr>
      <w:r w:rsidRPr="00AC2DA9">
        <w:rPr>
          <w:b/>
        </w:rPr>
        <w:t>.06</w:t>
      </w:r>
      <w:r w:rsidRPr="00AC2DA9">
        <w:rPr>
          <w:b/>
        </w:rPr>
        <w:tab/>
        <w:t>Valuation</w:t>
      </w:r>
    </w:p>
    <w:p w14:paraId="136A4D04" w14:textId="77777777" w:rsidR="00EC19B1" w:rsidRPr="00AC2DA9" w:rsidRDefault="00EC19B1" w:rsidP="00EC19B1">
      <w:pPr>
        <w:tabs>
          <w:tab w:val="left" w:pos="720"/>
          <w:tab w:val="left" w:pos="1440"/>
          <w:tab w:val="left" w:pos="2160"/>
          <w:tab w:val="left" w:pos="2880"/>
          <w:tab w:val="left" w:pos="3600"/>
        </w:tabs>
        <w:rPr>
          <w:b/>
        </w:rPr>
      </w:pPr>
      <w:r w:rsidRPr="00AC2DA9">
        <w:rPr>
          <w:b/>
        </w:rPr>
        <w:tab/>
      </w:r>
    </w:p>
    <w:p w14:paraId="701959EF" w14:textId="7BE493DD" w:rsidR="00EC19B1" w:rsidRPr="00F00206" w:rsidRDefault="00EC19B1" w:rsidP="00EC19B1">
      <w:pPr>
        <w:tabs>
          <w:tab w:val="left" w:pos="720"/>
          <w:tab w:val="left" w:pos="1440"/>
          <w:tab w:val="left" w:pos="2160"/>
          <w:tab w:val="left" w:pos="2880"/>
          <w:tab w:val="left" w:pos="3600"/>
        </w:tabs>
        <w:ind w:left="1440" w:hanging="1440"/>
      </w:pPr>
      <w:r w:rsidRPr="00AC2DA9">
        <w:rPr>
          <w:b/>
        </w:rPr>
        <w:tab/>
        <w:t>A.</w:t>
      </w:r>
      <w:r w:rsidRPr="00AC2DA9">
        <w:rPr>
          <w:b/>
        </w:rPr>
        <w:tab/>
      </w:r>
      <w:r w:rsidRPr="00F00206">
        <w:rPr>
          <w:b/>
        </w:rPr>
        <w:t>Determination</w:t>
      </w:r>
      <w:r w:rsidR="009645DF" w:rsidRPr="00F00206">
        <w:rPr>
          <w:b/>
        </w:rPr>
        <w:t>.</w:t>
      </w:r>
      <w:r w:rsidR="009645DF" w:rsidRPr="00F00206">
        <w:t xml:space="preserve">  </w:t>
      </w:r>
      <w:r w:rsidR="00184B74" w:rsidRPr="00F00206">
        <w:t>For Maine estate tax purposes, the value with respect to an estate or to property included in an estate, including Maine qualified terminable interest property</w:t>
      </w:r>
      <w:r w:rsidR="00AC78A4" w:rsidRPr="00F00206">
        <w:t xml:space="preserve"> (“QTIP”)</w:t>
      </w:r>
      <w:r w:rsidR="00184B74" w:rsidRPr="00F00206">
        <w:t xml:space="preserve">, is the value as determined by the Assessor </w:t>
      </w:r>
      <w:r w:rsidRPr="00F00206">
        <w:t xml:space="preserve">in accordance with the Code, federal </w:t>
      </w:r>
      <w:proofErr w:type="gramStart"/>
      <w:r w:rsidRPr="00F00206">
        <w:t>regulations</w:t>
      </w:r>
      <w:proofErr w:type="gramEnd"/>
      <w:r w:rsidRPr="00F00206">
        <w:t xml:space="preserve"> and policy even if there is a final federal determination with respect to the valuation of the assets of the estate</w:t>
      </w:r>
      <w:r w:rsidR="009645DF" w:rsidRPr="00F00206">
        <w:t xml:space="preserve">.  </w:t>
      </w:r>
      <w:proofErr w:type="gramStart"/>
      <w:r w:rsidRPr="00F00206">
        <w:rPr>
          <w:rStyle w:val="InitialStyle"/>
          <w:rFonts w:ascii="Times New Roman" w:hAnsi="Times New Roman"/>
        </w:rPr>
        <w:t>Generally</w:t>
      </w:r>
      <w:proofErr w:type="gramEnd"/>
      <w:r w:rsidR="00184B74" w:rsidRPr="00F00206">
        <w:rPr>
          <w:rStyle w:val="InitialStyle"/>
          <w:rFonts w:ascii="Times New Roman" w:hAnsi="Times New Roman"/>
        </w:rPr>
        <w:t xml:space="preserve"> under federal law and thus, Maine law,</w:t>
      </w:r>
      <w:r w:rsidRPr="00F00206">
        <w:rPr>
          <w:rStyle w:val="InitialStyle"/>
          <w:rFonts w:ascii="Times New Roman" w:hAnsi="Times New Roman"/>
        </w:rPr>
        <w:t xml:space="preserve"> the value of the</w:t>
      </w:r>
      <w:r w:rsidR="004B5B38" w:rsidRPr="00F00206">
        <w:rPr>
          <w:rStyle w:val="InitialStyle"/>
          <w:rFonts w:ascii="Times New Roman" w:hAnsi="Times New Roman"/>
        </w:rPr>
        <w:t xml:space="preserve"> federal </w:t>
      </w:r>
      <w:r w:rsidRPr="00F00206">
        <w:rPr>
          <w:rStyle w:val="InitialStyle"/>
          <w:rFonts w:ascii="Times New Roman" w:hAnsi="Times New Roman"/>
        </w:rPr>
        <w:t>gross estate of the decedent</w:t>
      </w:r>
      <w:r w:rsidR="00184B74" w:rsidRPr="00F00206">
        <w:rPr>
          <w:rStyle w:val="InitialStyle"/>
          <w:rFonts w:ascii="Times New Roman" w:hAnsi="Times New Roman"/>
        </w:rPr>
        <w:t xml:space="preserve"> and property in the gross estate</w:t>
      </w:r>
      <w:r w:rsidRPr="00F00206">
        <w:rPr>
          <w:rStyle w:val="InitialStyle"/>
          <w:rFonts w:ascii="Times New Roman" w:hAnsi="Times New Roman"/>
        </w:rPr>
        <w:t xml:space="preserve"> is determined by the fair market value of all the decedent’s assets at the time of death</w:t>
      </w:r>
      <w:r w:rsidR="009645DF" w:rsidRPr="00F00206">
        <w:rPr>
          <w:rStyle w:val="InitialStyle"/>
          <w:rFonts w:ascii="Times New Roman" w:hAnsi="Times New Roman"/>
        </w:rPr>
        <w:t xml:space="preserve">.  </w:t>
      </w:r>
      <w:r w:rsidRPr="00F00206">
        <w:t>The fair market value means the price at which the property would change hands between a willing buyer and a willing seller, neither being under any compulsion</w:t>
      </w:r>
      <w:r w:rsidR="00F72DFE" w:rsidRPr="00F00206">
        <w:t xml:space="preserve"> to buy or to sell</w:t>
      </w:r>
      <w:r w:rsidRPr="00F00206">
        <w:t xml:space="preserve"> and both having reasonable knowledge of the relevant facts.</w:t>
      </w:r>
    </w:p>
    <w:p w14:paraId="179C161B" w14:textId="77777777" w:rsidR="00EC19B1" w:rsidRPr="00AC2DA9" w:rsidRDefault="00EC19B1" w:rsidP="00EC19B1">
      <w:pPr>
        <w:tabs>
          <w:tab w:val="left" w:pos="720"/>
          <w:tab w:val="left" w:pos="1440"/>
          <w:tab w:val="left" w:pos="2160"/>
          <w:tab w:val="left" w:pos="2880"/>
          <w:tab w:val="left" w:pos="3600"/>
        </w:tabs>
        <w:ind w:left="1440" w:hanging="1440"/>
        <w:rPr>
          <w:b/>
        </w:rPr>
      </w:pPr>
    </w:p>
    <w:p w14:paraId="5A08D7CF" w14:textId="77777777" w:rsidR="00EC19B1" w:rsidRPr="00AC2DA9" w:rsidRDefault="00EC19B1" w:rsidP="00EC19B1">
      <w:pPr>
        <w:tabs>
          <w:tab w:val="left" w:pos="720"/>
          <w:tab w:val="left" w:pos="1440"/>
          <w:tab w:val="left" w:pos="2160"/>
          <w:tab w:val="left" w:pos="2880"/>
          <w:tab w:val="left" w:pos="3600"/>
        </w:tabs>
        <w:ind w:left="1440" w:hanging="1440"/>
        <w:rPr>
          <w:b/>
        </w:rPr>
      </w:pPr>
      <w:r w:rsidRPr="00AC2DA9">
        <w:rPr>
          <w:b/>
        </w:rPr>
        <w:tab/>
        <w:t>B.</w:t>
      </w:r>
      <w:r w:rsidRPr="00AC2DA9">
        <w:rPr>
          <w:b/>
        </w:rPr>
        <w:tab/>
        <w:t>Alternate valuation date</w:t>
      </w:r>
      <w:r w:rsidR="009645DF" w:rsidRPr="00AC2DA9">
        <w:rPr>
          <w:b/>
        </w:rPr>
        <w:t>.</w:t>
      </w:r>
      <w:r w:rsidR="009645DF" w:rsidRPr="00AC2DA9">
        <w:t xml:space="preserve">  </w:t>
      </w:r>
      <w:r w:rsidRPr="00AC2DA9">
        <w:t xml:space="preserve">The personal representative of an estate </w:t>
      </w:r>
      <w:r w:rsidR="0072310E" w:rsidRPr="00AC2DA9">
        <w:t xml:space="preserve">who has </w:t>
      </w:r>
      <w:r w:rsidRPr="00AC2DA9">
        <w:t>elect</w:t>
      </w:r>
      <w:r w:rsidR="0072310E" w:rsidRPr="00AC2DA9">
        <w:t>ed</w:t>
      </w:r>
      <w:r w:rsidRPr="00AC2DA9">
        <w:t xml:space="preserve"> to value the estate</w:t>
      </w:r>
      <w:r w:rsidR="0072310E" w:rsidRPr="00AC2DA9">
        <w:t xml:space="preserve"> for federal purposes</w:t>
      </w:r>
      <w:r w:rsidRPr="00AC2DA9">
        <w:t xml:space="preserve"> using the alternate valuation date as determined under</w:t>
      </w:r>
      <w:r w:rsidR="00B0469B" w:rsidRPr="00AC2DA9">
        <w:t xml:space="preserve"> Code § 2032</w:t>
      </w:r>
      <w:r w:rsidR="0072310E" w:rsidRPr="00AC2DA9">
        <w:t xml:space="preserve"> must use the same valuation date for Maine estate tax</w:t>
      </w:r>
      <w:r w:rsidRPr="00AC2DA9">
        <w:t xml:space="preserve">.  </w:t>
      </w:r>
      <w:r w:rsidR="00A148B5" w:rsidRPr="00AC2DA9">
        <w:t xml:space="preserve">An estate may not elect alternate valuation for Maine purposes and date of death valuation for federal tax purposes.  </w:t>
      </w:r>
      <w:r w:rsidR="007C68D5" w:rsidRPr="00AC2DA9">
        <w:t>A Maine gap estate that</w:t>
      </w:r>
      <w:r w:rsidR="009F16EC" w:rsidRPr="00AC2DA9">
        <w:t>, notwithstanding the federal exclusion amount,</w:t>
      </w:r>
      <w:r w:rsidR="007C68D5" w:rsidRPr="00AC2DA9">
        <w:t xml:space="preserve"> would have</w:t>
      </w:r>
      <w:r w:rsidR="009F16EC" w:rsidRPr="00AC2DA9">
        <w:t xml:space="preserve"> otherwise</w:t>
      </w:r>
      <w:r w:rsidR="007C68D5" w:rsidRPr="00AC2DA9">
        <w:t xml:space="preserve"> qualified for the election under federal law may elect alternate valuation by checking the </w:t>
      </w:r>
      <w:r w:rsidR="00C23C1C" w:rsidRPr="00AC2DA9">
        <w:t xml:space="preserve">appropriate </w:t>
      </w:r>
      <w:r w:rsidR="007C68D5" w:rsidRPr="00AC2DA9">
        <w:t>box on the pro form</w:t>
      </w:r>
      <w:r w:rsidR="008E52E2" w:rsidRPr="00AC2DA9">
        <w:t>a</w:t>
      </w:r>
      <w:r w:rsidR="007C68D5" w:rsidRPr="00AC2DA9">
        <w:t xml:space="preserve"> federal Form 706.  Once made, the election to use alternate valuation may not be revoked.  The election may be made on a late-filed return, provided it is filed not later than one year after the due date including extensions </w:t>
      </w:r>
      <w:proofErr w:type="gramStart"/>
      <w:r w:rsidR="007C68D5" w:rsidRPr="00AC2DA9">
        <w:t>actually granted</w:t>
      </w:r>
      <w:proofErr w:type="gramEnd"/>
      <w:r w:rsidR="007C68D5" w:rsidRPr="00AC2DA9">
        <w:t xml:space="preserve">.  </w:t>
      </w:r>
    </w:p>
    <w:p w14:paraId="204BFD6A" w14:textId="77777777" w:rsidR="00404089" w:rsidRPr="00AC2DA9" w:rsidRDefault="00404089" w:rsidP="00EC19B1">
      <w:pPr>
        <w:tabs>
          <w:tab w:val="left" w:pos="720"/>
          <w:tab w:val="left" w:pos="1440"/>
          <w:tab w:val="left" w:pos="2160"/>
          <w:tab w:val="left" w:pos="2880"/>
          <w:tab w:val="left" w:pos="3600"/>
        </w:tabs>
        <w:ind w:left="1440" w:hanging="1440"/>
        <w:rPr>
          <w:b/>
        </w:rPr>
      </w:pPr>
    </w:p>
    <w:p w14:paraId="1E457D7D" w14:textId="77777777" w:rsidR="005B0C1B" w:rsidRPr="00AC2DA9" w:rsidRDefault="005B0C1B" w:rsidP="00EC19B1">
      <w:pPr>
        <w:tabs>
          <w:tab w:val="left" w:pos="720"/>
          <w:tab w:val="left" w:pos="1440"/>
          <w:tab w:val="left" w:pos="2160"/>
          <w:tab w:val="left" w:pos="2880"/>
          <w:tab w:val="left" w:pos="3600"/>
        </w:tabs>
        <w:ind w:left="1440" w:hanging="1440"/>
        <w:rPr>
          <w:b/>
        </w:rPr>
      </w:pPr>
    </w:p>
    <w:p w14:paraId="6AEBDDCE" w14:textId="77777777" w:rsidR="00EC19B1" w:rsidRPr="00AC2DA9" w:rsidRDefault="00EC19B1" w:rsidP="00EC19B1">
      <w:pPr>
        <w:tabs>
          <w:tab w:val="left" w:pos="720"/>
          <w:tab w:val="left" w:pos="1440"/>
          <w:tab w:val="left" w:pos="2160"/>
          <w:tab w:val="left" w:pos="2880"/>
          <w:tab w:val="left" w:pos="3600"/>
        </w:tabs>
        <w:ind w:left="1440" w:hanging="1440"/>
        <w:rPr>
          <w:b/>
        </w:rPr>
      </w:pPr>
      <w:r w:rsidRPr="00AC2DA9">
        <w:rPr>
          <w:b/>
        </w:rPr>
        <w:t>.07</w:t>
      </w:r>
      <w:r w:rsidRPr="00AC2DA9">
        <w:rPr>
          <w:b/>
        </w:rPr>
        <w:tab/>
        <w:t xml:space="preserve">Sourcing </w:t>
      </w:r>
    </w:p>
    <w:p w14:paraId="75A906EB" w14:textId="77777777" w:rsidR="00EC19B1" w:rsidRPr="00AC2DA9" w:rsidRDefault="00EC19B1" w:rsidP="00EC19B1">
      <w:pPr>
        <w:tabs>
          <w:tab w:val="left" w:pos="720"/>
          <w:tab w:val="left" w:pos="1440"/>
          <w:tab w:val="left" w:pos="2160"/>
          <w:tab w:val="left" w:pos="2880"/>
          <w:tab w:val="left" w:pos="3600"/>
        </w:tabs>
        <w:ind w:left="1440" w:hanging="1440"/>
        <w:rPr>
          <w:b/>
        </w:rPr>
      </w:pPr>
    </w:p>
    <w:p w14:paraId="707B528A" w14:textId="77777777" w:rsidR="00EC19B1" w:rsidRPr="00AC2DA9" w:rsidRDefault="00EC19B1" w:rsidP="00BD7331">
      <w:pPr>
        <w:tabs>
          <w:tab w:val="left" w:pos="720"/>
          <w:tab w:val="left" w:pos="1440"/>
          <w:tab w:val="left" w:pos="2160"/>
          <w:tab w:val="left" w:pos="2880"/>
          <w:tab w:val="left" w:pos="3600"/>
        </w:tabs>
        <w:ind w:left="1440" w:hanging="1440"/>
      </w:pPr>
      <w:r w:rsidRPr="00AC2DA9">
        <w:rPr>
          <w:b/>
        </w:rPr>
        <w:tab/>
        <w:t>A.</w:t>
      </w:r>
      <w:r w:rsidRPr="00AC2DA9">
        <w:rPr>
          <w:b/>
        </w:rPr>
        <w:tab/>
        <w:t>Real property</w:t>
      </w:r>
      <w:r w:rsidR="009645DF" w:rsidRPr="00AC2DA9">
        <w:rPr>
          <w:b/>
        </w:rPr>
        <w:t>.</w:t>
      </w:r>
      <w:r w:rsidR="009645DF" w:rsidRPr="00AC2DA9">
        <w:t xml:space="preserve">  </w:t>
      </w:r>
      <w:r w:rsidRPr="00AC2DA9">
        <w:t>Real property is sourced to the taxing jurisdiction in which it is physically located, regardless of whether the decedent was a Maine resident or nonresident</w:t>
      </w:r>
      <w:r w:rsidR="008B32CE" w:rsidRPr="00AC2DA9">
        <w:t xml:space="preserve"> on the date of the decedent’s death</w:t>
      </w:r>
      <w:r w:rsidRPr="00AC2DA9">
        <w:t>.</w:t>
      </w:r>
    </w:p>
    <w:p w14:paraId="461A6AFF" w14:textId="77777777" w:rsidR="00EC19B1" w:rsidRPr="00AC2DA9" w:rsidRDefault="00EC19B1" w:rsidP="00EC19B1">
      <w:pPr>
        <w:tabs>
          <w:tab w:val="left" w:pos="1440"/>
          <w:tab w:val="left" w:pos="2880"/>
          <w:tab w:val="left" w:pos="3600"/>
        </w:tabs>
        <w:ind w:left="2160" w:hanging="2160"/>
        <w:rPr>
          <w:b/>
        </w:rPr>
      </w:pPr>
    </w:p>
    <w:p w14:paraId="7E87A401" w14:textId="77777777" w:rsidR="00EC19B1" w:rsidRPr="00AC2DA9" w:rsidRDefault="00BD7331" w:rsidP="00BD7331">
      <w:pPr>
        <w:tabs>
          <w:tab w:val="left" w:pos="720"/>
          <w:tab w:val="left" w:pos="2880"/>
          <w:tab w:val="left" w:pos="3600"/>
        </w:tabs>
        <w:ind w:left="1440" w:hanging="1440"/>
      </w:pPr>
      <w:r w:rsidRPr="00AC2DA9">
        <w:rPr>
          <w:b/>
        </w:rPr>
        <w:tab/>
        <w:t>B</w:t>
      </w:r>
      <w:r w:rsidR="00EC19B1" w:rsidRPr="00AC2DA9">
        <w:rPr>
          <w:b/>
        </w:rPr>
        <w:t>.</w:t>
      </w:r>
      <w:r w:rsidR="00EC19B1" w:rsidRPr="00AC2DA9">
        <w:rPr>
          <w:b/>
        </w:rPr>
        <w:tab/>
        <w:t>Tangible personal property</w:t>
      </w:r>
      <w:r w:rsidR="009645DF" w:rsidRPr="00AC2DA9">
        <w:rPr>
          <w:b/>
        </w:rPr>
        <w:t>.</w:t>
      </w:r>
      <w:r w:rsidR="009645DF" w:rsidRPr="00AC2DA9">
        <w:t xml:space="preserve">  </w:t>
      </w:r>
      <w:r w:rsidR="00EC19B1" w:rsidRPr="00AC2DA9">
        <w:t xml:space="preserve">Tangible personal property is sourced to the taxing jurisdiction in which it was situated at the date of </w:t>
      </w:r>
      <w:r w:rsidR="008B32CE" w:rsidRPr="00AC2DA9">
        <w:t xml:space="preserve">the decedent’s </w:t>
      </w:r>
      <w:r w:rsidR="00EC19B1" w:rsidRPr="00AC2DA9">
        <w:t>death.  If an item of tangible personal property is temporarily situated in a taxing jurisdiction for repair or other temporary purpose, that item will be sourced to the taxing jurisdiction to which it is intended to be located after such repair or purpose.</w:t>
      </w:r>
    </w:p>
    <w:p w14:paraId="34ABC5BB" w14:textId="77777777" w:rsidR="00EC19B1" w:rsidRPr="00AC2DA9" w:rsidRDefault="00EC19B1" w:rsidP="00EC19B1">
      <w:pPr>
        <w:tabs>
          <w:tab w:val="left" w:pos="720"/>
          <w:tab w:val="left" w:pos="1440"/>
          <w:tab w:val="left" w:pos="2160"/>
          <w:tab w:val="left" w:pos="2880"/>
          <w:tab w:val="left" w:pos="3600"/>
        </w:tabs>
        <w:ind w:left="2160" w:hanging="720"/>
      </w:pPr>
    </w:p>
    <w:p w14:paraId="3CCD6B14" w14:textId="77777777" w:rsidR="00EC19B1" w:rsidRPr="00AC2DA9" w:rsidRDefault="00EC19B1" w:rsidP="00BD7331">
      <w:pPr>
        <w:numPr>
          <w:ilvl w:val="0"/>
          <w:numId w:val="3"/>
        </w:numPr>
        <w:tabs>
          <w:tab w:val="clear" w:pos="1800"/>
          <w:tab w:val="left" w:pos="720"/>
          <w:tab w:val="num" w:pos="1440"/>
          <w:tab w:val="left" w:pos="2160"/>
          <w:tab w:val="left" w:pos="2880"/>
          <w:tab w:val="left" w:pos="3600"/>
        </w:tabs>
        <w:ind w:left="1440" w:hanging="720"/>
      </w:pPr>
      <w:r w:rsidRPr="00AC2DA9">
        <w:rPr>
          <w:b/>
        </w:rPr>
        <w:lastRenderedPageBreak/>
        <w:t>Intangible property</w:t>
      </w:r>
      <w:r w:rsidR="009645DF" w:rsidRPr="00AC2DA9">
        <w:rPr>
          <w:b/>
        </w:rPr>
        <w:t>.</w:t>
      </w:r>
      <w:r w:rsidR="009645DF" w:rsidRPr="00AC2DA9">
        <w:t xml:space="preserve">  </w:t>
      </w:r>
      <w:r w:rsidRPr="00AC2DA9">
        <w:t>Intangible property is sourced to the taxing jurisdiction of the decedent’s domicile</w:t>
      </w:r>
      <w:r w:rsidR="008B32CE" w:rsidRPr="00AC2DA9">
        <w:t xml:space="preserve"> as of the date of the decedent’s death</w:t>
      </w:r>
      <w:r w:rsidRPr="00AC2DA9">
        <w:t>.  Intangible property includes, but is not limited to, bank accounts, stocks, bonds</w:t>
      </w:r>
      <w:r w:rsidR="005954A0" w:rsidRPr="00AC2DA9">
        <w:t xml:space="preserve">, </w:t>
      </w:r>
      <w:proofErr w:type="gramStart"/>
      <w:r w:rsidR="005954A0" w:rsidRPr="00AC2DA9">
        <w:t>brokerage</w:t>
      </w:r>
      <w:proofErr w:type="gramEnd"/>
      <w:r w:rsidRPr="00AC2DA9">
        <w:t xml:space="preserve"> and other cash accounts, except as </w:t>
      </w:r>
      <w:r w:rsidR="00023321" w:rsidRPr="00AC2DA9">
        <w:t xml:space="preserve">otherwise provided by this </w:t>
      </w:r>
      <w:r w:rsidR="00E10C2A" w:rsidRPr="00AC2DA9">
        <w:t>rule</w:t>
      </w:r>
      <w:r w:rsidRPr="00AC2DA9">
        <w:t>.</w:t>
      </w:r>
    </w:p>
    <w:p w14:paraId="2F91B76E" w14:textId="77777777" w:rsidR="00EC19B1" w:rsidRPr="00AC2DA9" w:rsidRDefault="00EC19B1" w:rsidP="00EC19B1">
      <w:pPr>
        <w:tabs>
          <w:tab w:val="left" w:pos="720"/>
          <w:tab w:val="left" w:pos="2160"/>
          <w:tab w:val="left" w:pos="2880"/>
          <w:tab w:val="left" w:pos="3600"/>
        </w:tabs>
        <w:ind w:left="2160" w:hanging="720"/>
      </w:pPr>
    </w:p>
    <w:p w14:paraId="0436D6A6" w14:textId="77777777" w:rsidR="00EC19B1" w:rsidRPr="00AC2DA9" w:rsidRDefault="00EC19B1" w:rsidP="00BD7331">
      <w:pPr>
        <w:numPr>
          <w:ilvl w:val="0"/>
          <w:numId w:val="3"/>
        </w:numPr>
        <w:tabs>
          <w:tab w:val="clear" w:pos="1800"/>
          <w:tab w:val="left" w:pos="720"/>
          <w:tab w:val="num" w:pos="1440"/>
          <w:tab w:val="left" w:pos="2160"/>
          <w:tab w:val="left" w:pos="2880"/>
          <w:tab w:val="left" w:pos="3600"/>
        </w:tabs>
        <w:ind w:left="1440" w:hanging="720"/>
      </w:pPr>
      <w:r w:rsidRPr="00AC2DA9">
        <w:rPr>
          <w:b/>
        </w:rPr>
        <w:t xml:space="preserve">Gifts.  </w:t>
      </w:r>
      <w:r w:rsidR="00F14846" w:rsidRPr="00AC2DA9">
        <w:t>T</w:t>
      </w:r>
      <w:r w:rsidR="00195184" w:rsidRPr="00AC2DA9">
        <w:t xml:space="preserve">axable </w:t>
      </w:r>
      <w:r w:rsidRPr="00AC2DA9">
        <w:t xml:space="preserve">gifts made by the decedent within one year prior to death included in the decedent’s estate by 36 </w:t>
      </w:r>
      <w:r w:rsidR="00C67790" w:rsidRPr="00AC2DA9">
        <w:t>M.R.S.</w:t>
      </w:r>
      <w:r w:rsidRPr="00AC2DA9">
        <w:t xml:space="preserve"> §</w:t>
      </w:r>
      <w:r w:rsidR="0098783C" w:rsidRPr="00AC2DA9">
        <w:t xml:space="preserve"> </w:t>
      </w:r>
      <w:r w:rsidR="00981EAF" w:rsidRPr="00AC2DA9">
        <w:t>4102(7)</w:t>
      </w:r>
      <w:r w:rsidR="00195184" w:rsidRPr="00AC2DA9">
        <w:t xml:space="preserve"> are</w:t>
      </w:r>
      <w:r w:rsidR="00B373D6" w:rsidRPr="00AC2DA9">
        <w:t xml:space="preserve"> sourced consistent with .07</w:t>
      </w:r>
      <w:r w:rsidR="00D175C7" w:rsidRPr="00AC2DA9">
        <w:t>(A), (B</w:t>
      </w:r>
      <w:r w:rsidR="00EB383D" w:rsidRPr="00AC2DA9">
        <w:t>)</w:t>
      </w:r>
      <w:r w:rsidR="00D175C7" w:rsidRPr="00AC2DA9">
        <w:t xml:space="preserve"> and</w:t>
      </w:r>
      <w:r w:rsidRPr="00AC2DA9">
        <w:t xml:space="preserve"> (</w:t>
      </w:r>
      <w:r w:rsidR="00D175C7" w:rsidRPr="00AC2DA9">
        <w:t>C</w:t>
      </w:r>
      <w:r w:rsidRPr="00AC2DA9">
        <w:t>) above</w:t>
      </w:r>
      <w:r w:rsidR="00184B74" w:rsidRPr="00AC2DA9">
        <w:t xml:space="preserve"> and (E) below </w:t>
      </w:r>
      <w:r w:rsidR="00205DA4" w:rsidRPr="00AC2DA9">
        <w:t>on the date the gift was made</w:t>
      </w:r>
      <w:r w:rsidRPr="00AC2DA9">
        <w:t>.</w:t>
      </w:r>
      <w:r w:rsidR="00EA7D4C" w:rsidRPr="00AC2DA9">
        <w:t xml:space="preserve">  </w:t>
      </w:r>
    </w:p>
    <w:p w14:paraId="46D5500F" w14:textId="77777777" w:rsidR="00BD7331" w:rsidRPr="00AC2DA9" w:rsidRDefault="00BD7331" w:rsidP="00BD7331">
      <w:pPr>
        <w:tabs>
          <w:tab w:val="left" w:pos="720"/>
          <w:tab w:val="left" w:pos="2160"/>
          <w:tab w:val="left" w:pos="2880"/>
          <w:tab w:val="left" w:pos="3600"/>
        </w:tabs>
      </w:pPr>
    </w:p>
    <w:p w14:paraId="006D1A4F" w14:textId="77777777" w:rsidR="00C15503" w:rsidRPr="00AC2DA9" w:rsidRDefault="00EC19B1" w:rsidP="00BD7331">
      <w:pPr>
        <w:tabs>
          <w:tab w:val="left" w:pos="720"/>
          <w:tab w:val="left" w:pos="1440"/>
          <w:tab w:val="left" w:pos="2160"/>
          <w:tab w:val="left" w:pos="2880"/>
          <w:tab w:val="left" w:pos="3600"/>
        </w:tabs>
        <w:ind w:left="1440" w:hanging="1440"/>
      </w:pPr>
      <w:r w:rsidRPr="00AC2DA9">
        <w:rPr>
          <w:b/>
        </w:rPr>
        <w:tab/>
      </w:r>
      <w:r w:rsidR="008E0EF6" w:rsidRPr="00AC2DA9">
        <w:rPr>
          <w:b/>
        </w:rPr>
        <w:t>E</w:t>
      </w:r>
      <w:r w:rsidRPr="00AC2DA9">
        <w:rPr>
          <w:b/>
        </w:rPr>
        <w:t>.</w:t>
      </w:r>
      <w:r w:rsidRPr="00AC2DA9">
        <w:rPr>
          <w:b/>
        </w:rPr>
        <w:tab/>
      </w:r>
      <w:r w:rsidR="00BD7331" w:rsidRPr="00AC2DA9">
        <w:rPr>
          <w:b/>
        </w:rPr>
        <w:t xml:space="preserve">Real or tangible personal property </w:t>
      </w:r>
      <w:r w:rsidR="00184B74" w:rsidRPr="00AC2DA9">
        <w:rPr>
          <w:b/>
        </w:rPr>
        <w:t xml:space="preserve">owned by a </w:t>
      </w:r>
      <w:r w:rsidR="00BD7331" w:rsidRPr="00AC2DA9">
        <w:rPr>
          <w:b/>
        </w:rPr>
        <w:t>pass-through entity</w:t>
      </w:r>
      <w:r w:rsidR="00184B74" w:rsidRPr="00AC2DA9">
        <w:rPr>
          <w:b/>
        </w:rPr>
        <w:t xml:space="preserve"> in the estate of a nonresident</w:t>
      </w:r>
      <w:r w:rsidR="00BD7331" w:rsidRPr="00AC2DA9">
        <w:rPr>
          <w:b/>
        </w:rPr>
        <w:t xml:space="preserve">.  </w:t>
      </w:r>
      <w:r w:rsidR="00184B74" w:rsidRPr="00AC2DA9">
        <w:t>For estates of nonresidents, w</w:t>
      </w:r>
      <w:r w:rsidR="00C15503" w:rsidRPr="00AC2DA9">
        <w:t xml:space="preserve">hen real or tangible personal property is owned by a pass-through entity, the entity must be disregarded and the property must be treated as personally owned by the decedent where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w:t>
      </w:r>
      <w:r w:rsidR="00EB383D" w:rsidRPr="00AC2DA9">
        <w:t xml:space="preserve">adjusted </w:t>
      </w:r>
      <w:r w:rsidR="00C15503" w:rsidRPr="00AC2DA9">
        <w:t xml:space="preserve">federal gross estate.  </w:t>
      </w:r>
      <w:r w:rsidR="00C01F29" w:rsidRPr="00AC2DA9">
        <w:t xml:space="preserve">The </w:t>
      </w:r>
      <w:r w:rsidR="00C15503" w:rsidRPr="00AC2DA9">
        <w:t>Assessor will determine whether the transfer was for a valid business purpose by looking at the economic realities of the transfer.  Tax avoidance is not considered a valid business purpose.</w:t>
      </w:r>
    </w:p>
    <w:p w14:paraId="7496E76B" w14:textId="77777777" w:rsidR="00EC19B1" w:rsidRPr="00AC2DA9" w:rsidRDefault="00EC19B1" w:rsidP="00EC19B1">
      <w:pPr>
        <w:tabs>
          <w:tab w:val="left" w:pos="720"/>
          <w:tab w:val="left" w:pos="1440"/>
          <w:tab w:val="left" w:pos="2160"/>
          <w:tab w:val="left" w:pos="2880"/>
          <w:tab w:val="left" w:pos="3600"/>
        </w:tabs>
        <w:ind w:left="2160"/>
        <w:rPr>
          <w:strike/>
        </w:rPr>
      </w:pPr>
    </w:p>
    <w:p w14:paraId="5C38DFD8" w14:textId="77777777" w:rsidR="005B0C1B" w:rsidRPr="00AC2DA9" w:rsidRDefault="005B0C1B" w:rsidP="00EC19B1">
      <w:pPr>
        <w:tabs>
          <w:tab w:val="left" w:pos="720"/>
          <w:tab w:val="left" w:pos="1440"/>
          <w:tab w:val="left" w:pos="2160"/>
          <w:tab w:val="left" w:pos="2880"/>
          <w:tab w:val="left" w:pos="3600"/>
        </w:tabs>
        <w:ind w:left="2160"/>
        <w:rPr>
          <w:strike/>
        </w:rPr>
      </w:pPr>
    </w:p>
    <w:p w14:paraId="0CF03D1C" w14:textId="6C89DA95" w:rsidR="00CF0343" w:rsidRPr="00AC2DA9" w:rsidRDefault="00EC19B1" w:rsidP="00CF0343">
      <w:pPr>
        <w:adjustRightInd w:val="0"/>
      </w:pPr>
      <w:r w:rsidRPr="00AC2DA9">
        <w:rPr>
          <w:b/>
        </w:rPr>
        <w:t>.08</w:t>
      </w:r>
      <w:r w:rsidRPr="00AC2DA9">
        <w:rPr>
          <w:b/>
        </w:rPr>
        <w:tab/>
      </w:r>
      <w:r w:rsidR="00CF0343" w:rsidRPr="00AC2DA9">
        <w:rPr>
          <w:b/>
        </w:rPr>
        <w:t>Domicile</w:t>
      </w:r>
    </w:p>
    <w:p w14:paraId="77651444" w14:textId="77777777" w:rsidR="00CF0343" w:rsidRPr="00AC2DA9" w:rsidRDefault="00CF0343" w:rsidP="00CF0343">
      <w:pPr>
        <w:adjustRightInd w:val="0"/>
        <w:ind w:left="1440" w:hanging="720"/>
      </w:pPr>
    </w:p>
    <w:p w14:paraId="7BC75E46" w14:textId="77777777" w:rsidR="00CF0343" w:rsidRPr="00AC2DA9" w:rsidRDefault="00CF0343" w:rsidP="00CF0343">
      <w:pPr>
        <w:adjustRightInd w:val="0"/>
        <w:ind w:left="720"/>
        <w:rPr>
          <w:strike/>
        </w:rPr>
      </w:pPr>
      <w:r w:rsidRPr="00AC2DA9">
        <w:t xml:space="preserve">The word “domicile” is a common-law (i.e., judge-made law) term that the Maine courts, not the Legislature or Maine Revenue Services, have defined.  Under the Maine common law, “domicile” means the place (A) where a person resides, and (B) where that person intends to remain and, whenever absent, intends to return.  Thus, according to the Maine courts, domicile has two components:  residence and the intent to remain or return, if absent.  The intent to move in the future is not sufficient to establish domicile.  Once an individual’s domicile is established in Maine, it continues here until domicile is established elsewhere.  An individual alleging a change in domicile has the burden to show that domicile was established in another state or country.  </w:t>
      </w:r>
    </w:p>
    <w:p w14:paraId="2A78A116" w14:textId="77777777" w:rsidR="00CF0343" w:rsidRPr="00AC2DA9" w:rsidRDefault="00CF0343" w:rsidP="00CF0343">
      <w:pPr>
        <w:adjustRightInd w:val="0"/>
        <w:ind w:left="720"/>
      </w:pPr>
    </w:p>
    <w:p w14:paraId="70C893FE" w14:textId="2AE3E9B4" w:rsidR="00CF0343" w:rsidRPr="00F00206" w:rsidRDefault="00CF0343" w:rsidP="00CF0343">
      <w:pPr>
        <w:adjustRightInd w:val="0"/>
        <w:ind w:left="720"/>
      </w:pPr>
      <w:r w:rsidRPr="00F00206">
        <w:t>Where a decedent was domiciled at the date of death is a question of fact in which objective factors exhibiting the decedent’s actual location and intent may be relevant.  Factors that may be relevant or excluded in determining a decedent’s domicile at the date of death include those relevant or excluded in determining income tax domicile (</w:t>
      </w:r>
      <w:r w:rsidR="00A4171F" w:rsidRPr="00F00206">
        <w:t>f</w:t>
      </w:r>
      <w:r w:rsidR="00A66589" w:rsidRPr="00F00206">
        <w:t>or more information see</w:t>
      </w:r>
      <w:r w:rsidRPr="00F00206">
        <w:t xml:space="preserve"> </w:t>
      </w:r>
      <w:r w:rsidR="00AC78A4" w:rsidRPr="00F00206">
        <w:t xml:space="preserve">MRS Rule 807(.03) and (.04) </w:t>
      </w:r>
      <w:r w:rsidRPr="00F00206">
        <w:t>18</w:t>
      </w:r>
      <w:r w:rsidR="006C4CE1" w:rsidRPr="00F00206">
        <w:t>-</w:t>
      </w:r>
      <w:r w:rsidRPr="00F00206">
        <w:t>125 C</w:t>
      </w:r>
      <w:r w:rsidR="006C4CE1" w:rsidRPr="00F00206">
        <w:t>.</w:t>
      </w:r>
      <w:r w:rsidRPr="00F00206">
        <w:t>M</w:t>
      </w:r>
      <w:r w:rsidR="006C4CE1" w:rsidRPr="00F00206">
        <w:t>.</w:t>
      </w:r>
      <w:r w:rsidRPr="00F00206">
        <w:t>R</w:t>
      </w:r>
      <w:r w:rsidR="006C4CE1" w:rsidRPr="00F00206">
        <w:t>.,</w:t>
      </w:r>
      <w:r w:rsidRPr="00F00206">
        <w:t xml:space="preserve"> </w:t>
      </w:r>
      <w:r w:rsidR="006C4CE1" w:rsidRPr="00F00206">
        <w:t xml:space="preserve">ch. </w:t>
      </w:r>
      <w:r w:rsidRPr="00F00206">
        <w:t>807, as well as the locations of significant relatives or an appointed attorney-in-fact for health care or financial decisions.  Where the decedent qualified for financial assistance for health care, where the decedent had a contract for residence or care at a residential living facility, or where the decedent qualified as a statutory resident for income tax purposes may all be factors to be considered in determining domicile.</w:t>
      </w:r>
    </w:p>
    <w:p w14:paraId="59E270A8" w14:textId="77777777" w:rsidR="00CF0343" w:rsidRPr="00AC2DA9" w:rsidRDefault="00CF0343" w:rsidP="00CF0343">
      <w:pPr>
        <w:tabs>
          <w:tab w:val="left" w:pos="1440"/>
        </w:tabs>
        <w:adjustRightInd w:val="0"/>
        <w:ind w:left="720"/>
      </w:pPr>
    </w:p>
    <w:p w14:paraId="5F08C0C2" w14:textId="77777777" w:rsidR="00CF0343" w:rsidRPr="00AC2DA9" w:rsidRDefault="00CF0343" w:rsidP="00CF0343">
      <w:pPr>
        <w:pStyle w:val="Header"/>
        <w:tabs>
          <w:tab w:val="left" w:pos="720"/>
          <w:tab w:val="left" w:pos="1440"/>
          <w:tab w:val="left" w:pos="2160"/>
          <w:tab w:val="left" w:pos="2880"/>
          <w:tab w:val="left" w:pos="3600"/>
        </w:tabs>
        <w:ind w:left="720"/>
        <w:rPr>
          <w:b/>
        </w:rPr>
      </w:pPr>
      <w:r w:rsidRPr="00AC2DA9">
        <w:t xml:space="preserve">Maine Revenue Services considers </w:t>
      </w:r>
      <w:proofErr w:type="gramStart"/>
      <w:r w:rsidRPr="00AC2DA9">
        <w:rPr>
          <w:bCs/>
        </w:rPr>
        <w:t>all</w:t>
      </w:r>
      <w:r w:rsidRPr="00AC2DA9">
        <w:rPr>
          <w:b/>
          <w:bCs/>
        </w:rPr>
        <w:t xml:space="preserve"> </w:t>
      </w:r>
      <w:r w:rsidRPr="00AC2DA9">
        <w:t>of</w:t>
      </w:r>
      <w:proofErr w:type="gramEnd"/>
      <w:r w:rsidRPr="00AC2DA9">
        <w:t xml:space="preserve"> an individual’s relevant facts and circumstances allowed by Maine law when it determines where that individual is domiciled.  Although the individual’s </w:t>
      </w:r>
      <w:r w:rsidRPr="00AC2DA9">
        <w:rPr>
          <w:bCs/>
        </w:rPr>
        <w:t>intent</w:t>
      </w:r>
      <w:r w:rsidRPr="00AC2DA9">
        <w:rPr>
          <w:b/>
          <w:bCs/>
        </w:rPr>
        <w:t xml:space="preserve"> </w:t>
      </w:r>
      <w:r w:rsidRPr="00AC2DA9">
        <w:rPr>
          <w:bCs/>
        </w:rPr>
        <w:t>to remain or return</w:t>
      </w:r>
      <w:r w:rsidRPr="00AC2DA9">
        <w:rPr>
          <w:b/>
          <w:bCs/>
        </w:rPr>
        <w:t xml:space="preserve"> </w:t>
      </w:r>
      <w:r w:rsidRPr="00AC2DA9">
        <w:t xml:space="preserve">is a factor in determining domicile, an individual’s statement as to his or her intent is not necessarily determinative.  Evidence of the decedent’s intent may be found in many decisions made by that individual.  The decedent may have retained the ability to make such decisions and determine his or her domicile even though the decedent was deemed incapable of making, or chose not to make, other decisions.  Actions by a person who was responsible for an incapacitated individual’s affairs may be considered when determining the decedent’s intent to remain.  When a guardian has been appointed and chooses the incapacitated individual’s place of abode pursuant to authority as a guardian, the intent of the guardian for the individual to remain or return to a particular location becomes a factor in the determination of the incapacitated person’s domicile.  Evidence of the guardian’s intent may be found in relevant statements and actions.  </w:t>
      </w:r>
    </w:p>
    <w:p w14:paraId="6DD7C99C" w14:textId="77777777" w:rsidR="00CF0343" w:rsidRPr="00AC2DA9" w:rsidRDefault="00CF0343" w:rsidP="00EC19B1">
      <w:pPr>
        <w:pStyle w:val="Header"/>
        <w:tabs>
          <w:tab w:val="left" w:pos="720"/>
          <w:tab w:val="left" w:pos="1440"/>
          <w:tab w:val="left" w:pos="2160"/>
          <w:tab w:val="left" w:pos="2880"/>
          <w:tab w:val="left" w:pos="3600"/>
        </w:tabs>
        <w:rPr>
          <w:b/>
        </w:rPr>
      </w:pPr>
    </w:p>
    <w:p w14:paraId="0A5E5E89" w14:textId="77777777" w:rsidR="005B0C1B" w:rsidRPr="00AC2DA9" w:rsidRDefault="005B0C1B" w:rsidP="00EC19B1">
      <w:pPr>
        <w:pStyle w:val="Header"/>
        <w:tabs>
          <w:tab w:val="left" w:pos="720"/>
          <w:tab w:val="left" w:pos="1440"/>
          <w:tab w:val="left" w:pos="2160"/>
          <w:tab w:val="left" w:pos="2880"/>
          <w:tab w:val="left" w:pos="3600"/>
        </w:tabs>
        <w:rPr>
          <w:b/>
        </w:rPr>
      </w:pPr>
    </w:p>
    <w:p w14:paraId="615D60CB" w14:textId="77777777" w:rsidR="00EC19B1" w:rsidRPr="00AC2DA9" w:rsidRDefault="00F24E3E" w:rsidP="00EC19B1">
      <w:pPr>
        <w:pStyle w:val="Header"/>
        <w:tabs>
          <w:tab w:val="left" w:pos="720"/>
          <w:tab w:val="left" w:pos="1440"/>
          <w:tab w:val="left" w:pos="2160"/>
          <w:tab w:val="left" w:pos="2880"/>
          <w:tab w:val="left" w:pos="3600"/>
        </w:tabs>
        <w:rPr>
          <w:b/>
        </w:rPr>
      </w:pPr>
      <w:r w:rsidRPr="00AC2DA9">
        <w:rPr>
          <w:b/>
        </w:rPr>
        <w:t>.09</w:t>
      </w:r>
      <w:r w:rsidRPr="00AC2DA9">
        <w:rPr>
          <w:b/>
        </w:rPr>
        <w:tab/>
      </w:r>
      <w:r w:rsidR="00EC19B1" w:rsidRPr="00AC2DA9">
        <w:rPr>
          <w:b/>
        </w:rPr>
        <w:t>Qualified terminable interest and Maine elective property</w:t>
      </w:r>
    </w:p>
    <w:p w14:paraId="56574055" w14:textId="77777777" w:rsidR="00EC19B1" w:rsidRPr="00AC2DA9" w:rsidRDefault="00EC19B1" w:rsidP="00EC19B1">
      <w:pPr>
        <w:pStyle w:val="Header"/>
        <w:tabs>
          <w:tab w:val="left" w:pos="720"/>
          <w:tab w:val="left" w:pos="1440"/>
          <w:tab w:val="left" w:pos="2160"/>
          <w:tab w:val="left" w:pos="2880"/>
          <w:tab w:val="left" w:pos="3600"/>
        </w:tabs>
        <w:rPr>
          <w:b/>
        </w:rPr>
      </w:pPr>
    </w:p>
    <w:p w14:paraId="6C4BEEFE" w14:textId="7B2AFAB8" w:rsidR="00EC19B1" w:rsidRPr="00F00206" w:rsidRDefault="00EC19B1" w:rsidP="00EC19B1">
      <w:pPr>
        <w:tabs>
          <w:tab w:val="left" w:pos="720"/>
          <w:tab w:val="left" w:pos="1440"/>
          <w:tab w:val="left" w:pos="2160"/>
          <w:tab w:val="left" w:pos="2880"/>
          <w:tab w:val="left" w:pos="3600"/>
        </w:tabs>
        <w:adjustRightInd w:val="0"/>
        <w:ind w:left="1440" w:hanging="1440"/>
      </w:pPr>
      <w:r w:rsidRPr="00AC2DA9">
        <w:tab/>
      </w:r>
      <w:r w:rsidRPr="00AC2DA9">
        <w:rPr>
          <w:b/>
        </w:rPr>
        <w:t>A.</w:t>
      </w:r>
      <w:r w:rsidRPr="00AC2DA9">
        <w:rPr>
          <w:b/>
        </w:rPr>
        <w:tab/>
      </w:r>
      <w:r w:rsidRPr="00F00206">
        <w:rPr>
          <w:b/>
        </w:rPr>
        <w:t>Qualified terminable interest property</w:t>
      </w:r>
      <w:r w:rsidR="009645DF" w:rsidRPr="00F00206">
        <w:rPr>
          <w:b/>
        </w:rPr>
        <w:t>.</w:t>
      </w:r>
      <w:r w:rsidR="009645DF" w:rsidRPr="00F00206">
        <w:t xml:space="preserve">  </w:t>
      </w:r>
      <w:r w:rsidR="00F52895" w:rsidRPr="00F00206">
        <w:rPr>
          <w:bCs/>
        </w:rPr>
        <w:t>On an original timely</w:t>
      </w:r>
      <w:r w:rsidR="00751FD8" w:rsidRPr="00F00206">
        <w:rPr>
          <w:bCs/>
        </w:rPr>
        <w:t>-</w:t>
      </w:r>
      <w:r w:rsidR="00F52895" w:rsidRPr="00F00206">
        <w:rPr>
          <w:bCs/>
        </w:rPr>
        <w:t xml:space="preserve">filed Maine estate tax return, </w:t>
      </w:r>
      <w:r w:rsidR="00765A47" w:rsidRPr="00F00206">
        <w:rPr>
          <w:bCs/>
        </w:rPr>
        <w:t xml:space="preserve">the personal representative </w:t>
      </w:r>
      <w:r w:rsidRPr="00F00206">
        <w:t xml:space="preserve">of a </w:t>
      </w:r>
      <w:r w:rsidRPr="00F00206">
        <w:rPr>
          <w:bCs/>
        </w:rPr>
        <w:t>decedent with</w:t>
      </w:r>
      <w:r w:rsidR="0038674F" w:rsidRPr="00F00206">
        <w:rPr>
          <w:bCs/>
        </w:rPr>
        <w:t xml:space="preserve"> a surviving spouse may elect </w:t>
      </w:r>
      <w:r w:rsidR="0038674F" w:rsidRPr="00F00206">
        <w:t>treatment</w:t>
      </w:r>
      <w:r w:rsidRPr="00F00206">
        <w:t xml:space="preserve"> for assets that are eligible to be treated as qualified terminable interest property (“QTIP”) under </w:t>
      </w:r>
      <w:r w:rsidR="00FF680E" w:rsidRPr="00F00206">
        <w:t xml:space="preserve">Code </w:t>
      </w:r>
      <w:r w:rsidRPr="00F00206">
        <w:t>§</w:t>
      </w:r>
      <w:r w:rsidR="0098783C" w:rsidRPr="00F00206">
        <w:t xml:space="preserve"> </w:t>
      </w:r>
      <w:r w:rsidRPr="00F00206">
        <w:t>2056(b)(7)</w:t>
      </w:r>
      <w:r w:rsidR="009645DF" w:rsidRPr="00F00206">
        <w:t xml:space="preserve">.  </w:t>
      </w:r>
      <w:r w:rsidR="00072836" w:rsidRPr="00F00206">
        <w:t xml:space="preserve">A Maine QTIP election may not be made on an amended </w:t>
      </w:r>
      <w:r w:rsidR="00AC78A4" w:rsidRPr="00F00206">
        <w:t xml:space="preserve">Maine estate tax </w:t>
      </w:r>
      <w:r w:rsidR="00072836" w:rsidRPr="00F00206">
        <w:t xml:space="preserve">return unless </w:t>
      </w:r>
      <w:r w:rsidR="00AC78A4" w:rsidRPr="00F00206">
        <w:t xml:space="preserve">such </w:t>
      </w:r>
      <w:r w:rsidR="00072836" w:rsidRPr="00F00206">
        <w:t xml:space="preserve">amended return is filed on or before the due date of the original </w:t>
      </w:r>
      <w:r w:rsidR="00AC78A4" w:rsidRPr="00F00206">
        <w:t xml:space="preserve">Maine estate tax </w:t>
      </w:r>
      <w:r w:rsidR="00072836" w:rsidRPr="00F00206">
        <w:t xml:space="preserve">return plus extensions.  </w:t>
      </w:r>
      <w:r w:rsidRPr="00F00206">
        <w:t>The allowable Maine QTIP deduction</w:t>
      </w:r>
      <w:r w:rsidR="00AC5EFB" w:rsidRPr="00F00206">
        <w:t xml:space="preserve"> may not be less than zero or greater than the amount by which the federal applicable exclusion amount under the Code </w:t>
      </w:r>
      <w:r w:rsidR="00AC78A4" w:rsidRPr="00F00206">
        <w:t xml:space="preserve">§ </w:t>
      </w:r>
      <w:r w:rsidR="00AC5EFB" w:rsidRPr="00F00206">
        <w:t xml:space="preserve">2010 exceeds the Maine exclusion amount.  For the purposes of this subsection, "federal applicable exclusion amount" does not include any deceased spousal unused exclusion amount under the Code </w:t>
      </w:r>
      <w:r w:rsidR="00AC78A4" w:rsidRPr="00F00206">
        <w:t xml:space="preserve">§ </w:t>
      </w:r>
      <w:r w:rsidR="006964BF" w:rsidRPr="00F00206">
        <w:t>2010</w:t>
      </w:r>
      <w:r w:rsidR="00AC5EFB" w:rsidRPr="00F00206">
        <w:t xml:space="preserve">.  </w:t>
      </w:r>
      <w:r w:rsidRPr="00F00206">
        <w:t>The Maine QTIP may not include property designated as federal QTIP property, nor may it include property included in adjusted taxable gifts.  Maine QTIP property is tax-deferred for Maine estate tax purposes until the death of the surviving spouse</w:t>
      </w:r>
      <w:r w:rsidR="009645DF" w:rsidRPr="00F00206">
        <w:t xml:space="preserve">.  </w:t>
      </w:r>
    </w:p>
    <w:p w14:paraId="381C789D" w14:textId="77777777" w:rsidR="00EC19B1" w:rsidRPr="00AC2DA9" w:rsidRDefault="00EC19B1" w:rsidP="00EC19B1">
      <w:pPr>
        <w:tabs>
          <w:tab w:val="left" w:pos="720"/>
          <w:tab w:val="left" w:pos="1440"/>
          <w:tab w:val="left" w:pos="2160"/>
          <w:tab w:val="left" w:pos="2880"/>
          <w:tab w:val="left" w:pos="3600"/>
        </w:tabs>
        <w:adjustRightInd w:val="0"/>
        <w:ind w:left="1440" w:hanging="1440"/>
      </w:pPr>
    </w:p>
    <w:p w14:paraId="374C0011" w14:textId="77777777" w:rsidR="00EC19B1" w:rsidRPr="00AC2DA9" w:rsidRDefault="00EC19B1" w:rsidP="00EC19B1">
      <w:pPr>
        <w:pStyle w:val="Header"/>
        <w:tabs>
          <w:tab w:val="left" w:pos="720"/>
          <w:tab w:val="left" w:pos="1440"/>
          <w:tab w:val="left" w:pos="2160"/>
          <w:tab w:val="left" w:pos="2880"/>
          <w:tab w:val="left" w:pos="3600"/>
        </w:tabs>
        <w:ind w:left="1440" w:hanging="1440"/>
      </w:pPr>
      <w:r w:rsidRPr="00AC2DA9">
        <w:rPr>
          <w:b/>
        </w:rPr>
        <w:tab/>
        <w:t>B.</w:t>
      </w:r>
      <w:r w:rsidRPr="00AC2DA9">
        <w:rPr>
          <w:b/>
        </w:rPr>
        <w:tab/>
        <w:t>Maine elective property</w:t>
      </w:r>
      <w:r w:rsidR="009645DF" w:rsidRPr="00AC2DA9">
        <w:rPr>
          <w:b/>
        </w:rPr>
        <w:t xml:space="preserve">.  </w:t>
      </w:r>
      <w:r w:rsidRPr="00AC2DA9">
        <w:t xml:space="preserve">If a decedent was predeceased by a spouse whose estate elected a deduction for a Maine QTIP, the </w:t>
      </w:r>
      <w:r w:rsidR="00C15912" w:rsidRPr="00AC2DA9">
        <w:t xml:space="preserve">value of the </w:t>
      </w:r>
      <w:r w:rsidRPr="00AC2DA9">
        <w:t>remaining property in the Maine QTIP must be included in the value of the estate of the surviving spouse as Maine elective property.  The value of the Maine elective property is measured at the death of the surviving spou</w:t>
      </w:r>
      <w:r w:rsidR="001032AC" w:rsidRPr="00AC2DA9">
        <w:t xml:space="preserve">se and is added to the federal </w:t>
      </w:r>
      <w:r w:rsidRPr="00AC2DA9">
        <w:t xml:space="preserve">taxable estate of the surviving spouse to calculate the Maine taxable estate.  If </w:t>
      </w:r>
      <w:r w:rsidR="001032AC" w:rsidRPr="00AC2DA9">
        <w:t xml:space="preserve">the value of </w:t>
      </w:r>
      <w:r w:rsidRPr="00AC2DA9">
        <w:t>the estate of the surviving spouse is based on the alternate valuation date, then the same alternate valuation date is to be used for valuation of the Maine elective property.</w:t>
      </w:r>
      <w:r w:rsidR="007B2C1B" w:rsidRPr="00AC2DA9">
        <w:t xml:space="preserve">  The value of Maine elective property is determined by the Assessor in accordance with the Code.  </w:t>
      </w:r>
    </w:p>
    <w:p w14:paraId="79AB6EA1" w14:textId="77777777" w:rsidR="00EC19B1" w:rsidRPr="00AC2DA9" w:rsidRDefault="00EC19B1" w:rsidP="00EC19B1">
      <w:pPr>
        <w:pStyle w:val="Header"/>
        <w:tabs>
          <w:tab w:val="left" w:pos="720"/>
          <w:tab w:val="left" w:pos="1440"/>
          <w:tab w:val="left" w:pos="2160"/>
          <w:tab w:val="left" w:pos="2880"/>
          <w:tab w:val="left" w:pos="3600"/>
        </w:tabs>
      </w:pPr>
    </w:p>
    <w:p w14:paraId="40C00A41" w14:textId="77777777" w:rsidR="005B0C1B" w:rsidRPr="00AC2DA9" w:rsidRDefault="005B0C1B" w:rsidP="00EC19B1">
      <w:pPr>
        <w:pStyle w:val="Header"/>
        <w:tabs>
          <w:tab w:val="left" w:pos="720"/>
          <w:tab w:val="left" w:pos="1440"/>
          <w:tab w:val="left" w:pos="2160"/>
          <w:tab w:val="left" w:pos="2880"/>
          <w:tab w:val="left" w:pos="3600"/>
        </w:tabs>
      </w:pPr>
    </w:p>
    <w:p w14:paraId="22562B85" w14:textId="77777777" w:rsidR="00EC19B1" w:rsidRPr="00AC2DA9" w:rsidRDefault="00EC19B1" w:rsidP="00EC19B1">
      <w:pPr>
        <w:tabs>
          <w:tab w:val="left" w:pos="720"/>
          <w:tab w:val="left" w:pos="1440"/>
          <w:tab w:val="left" w:pos="2160"/>
          <w:tab w:val="left" w:pos="2880"/>
          <w:tab w:val="left" w:pos="3600"/>
        </w:tabs>
      </w:pPr>
      <w:r w:rsidRPr="00AC2DA9">
        <w:rPr>
          <w:b/>
        </w:rPr>
        <w:lastRenderedPageBreak/>
        <w:t>.</w:t>
      </w:r>
      <w:r w:rsidR="00F24E3E" w:rsidRPr="00AC2DA9">
        <w:rPr>
          <w:b/>
        </w:rPr>
        <w:t>10</w:t>
      </w:r>
      <w:r w:rsidRPr="00AC2DA9">
        <w:rPr>
          <w:b/>
        </w:rPr>
        <w:tab/>
        <w:t>Qualified domestic trusts</w:t>
      </w:r>
    </w:p>
    <w:p w14:paraId="5ED040DE" w14:textId="77777777" w:rsidR="00EC19B1" w:rsidRPr="00AC2DA9" w:rsidRDefault="00EC19B1" w:rsidP="00EC19B1">
      <w:pPr>
        <w:tabs>
          <w:tab w:val="left" w:pos="720"/>
          <w:tab w:val="left" w:pos="1440"/>
          <w:tab w:val="left" w:pos="2160"/>
          <w:tab w:val="left" w:pos="2880"/>
          <w:tab w:val="left" w:pos="3600"/>
        </w:tabs>
      </w:pPr>
    </w:p>
    <w:p w14:paraId="76555D49" w14:textId="77777777" w:rsidR="00EC19B1" w:rsidRPr="00AC2DA9" w:rsidRDefault="00EC19B1" w:rsidP="00EC19B1">
      <w:pPr>
        <w:pStyle w:val="Header"/>
        <w:tabs>
          <w:tab w:val="left" w:pos="720"/>
          <w:tab w:val="left" w:pos="1440"/>
          <w:tab w:val="left" w:pos="2160"/>
          <w:tab w:val="left" w:pos="2880"/>
          <w:tab w:val="left" w:pos="3600"/>
        </w:tabs>
        <w:ind w:left="720"/>
        <w:rPr>
          <w:strike/>
        </w:rPr>
      </w:pPr>
      <w:r w:rsidRPr="00AC2DA9">
        <w:t>If a federal Form 706-QDT is required, the estate must also file an amended Maine estate tax return, showing the taxable distribution as an increase to the predeceased spouse’s estate</w:t>
      </w:r>
      <w:r w:rsidR="00D432F8" w:rsidRPr="00AC2DA9">
        <w:t>, and pay any additional tax liability</w:t>
      </w:r>
      <w:r w:rsidRPr="00AC2DA9">
        <w:t>.</w:t>
      </w:r>
    </w:p>
    <w:p w14:paraId="43E8B527" w14:textId="77777777" w:rsidR="00EC19B1" w:rsidRPr="00AC2DA9" w:rsidRDefault="00EC19B1" w:rsidP="00EC19B1">
      <w:pPr>
        <w:pStyle w:val="Header"/>
        <w:tabs>
          <w:tab w:val="left" w:pos="720"/>
          <w:tab w:val="left" w:pos="1440"/>
          <w:tab w:val="left" w:pos="2160"/>
          <w:tab w:val="left" w:pos="2880"/>
          <w:tab w:val="left" w:pos="3600"/>
        </w:tabs>
        <w:rPr>
          <w:b/>
        </w:rPr>
      </w:pPr>
    </w:p>
    <w:p w14:paraId="517A67EB" w14:textId="77777777" w:rsidR="005B0C1B" w:rsidRPr="00AC2DA9" w:rsidRDefault="005B0C1B" w:rsidP="00EC19B1">
      <w:pPr>
        <w:pStyle w:val="Header"/>
        <w:tabs>
          <w:tab w:val="left" w:pos="720"/>
          <w:tab w:val="left" w:pos="1440"/>
          <w:tab w:val="left" w:pos="2160"/>
          <w:tab w:val="left" w:pos="2880"/>
          <w:tab w:val="left" w:pos="3600"/>
        </w:tabs>
        <w:rPr>
          <w:b/>
        </w:rPr>
      </w:pPr>
    </w:p>
    <w:p w14:paraId="5FF17889" w14:textId="77777777" w:rsidR="00EC19B1" w:rsidRPr="00AC2DA9" w:rsidRDefault="00F24E3E" w:rsidP="00EC19B1">
      <w:pPr>
        <w:pStyle w:val="Header"/>
        <w:tabs>
          <w:tab w:val="left" w:pos="720"/>
          <w:tab w:val="left" w:pos="1440"/>
          <w:tab w:val="left" w:pos="2160"/>
          <w:tab w:val="left" w:pos="2880"/>
          <w:tab w:val="left" w:pos="3600"/>
        </w:tabs>
        <w:rPr>
          <w:b/>
        </w:rPr>
      </w:pPr>
      <w:r w:rsidRPr="00AC2DA9">
        <w:rPr>
          <w:b/>
        </w:rPr>
        <w:t>.11</w:t>
      </w:r>
      <w:r w:rsidR="00EC19B1" w:rsidRPr="00AC2DA9">
        <w:rPr>
          <w:b/>
        </w:rPr>
        <w:tab/>
        <w:t>Liability</w:t>
      </w:r>
    </w:p>
    <w:p w14:paraId="4DAA1BA0" w14:textId="77777777" w:rsidR="00EC19B1" w:rsidRPr="00AC2DA9" w:rsidRDefault="00EC19B1" w:rsidP="00EC19B1">
      <w:pPr>
        <w:pStyle w:val="Header"/>
        <w:tabs>
          <w:tab w:val="left" w:pos="720"/>
          <w:tab w:val="left" w:pos="1440"/>
          <w:tab w:val="left" w:pos="2160"/>
          <w:tab w:val="left" w:pos="2880"/>
          <w:tab w:val="left" w:pos="3600"/>
        </w:tabs>
        <w:rPr>
          <w:b/>
        </w:rPr>
      </w:pPr>
    </w:p>
    <w:p w14:paraId="11F2ACA2" w14:textId="030BB3CC" w:rsidR="00EC19B1" w:rsidRPr="00F00206" w:rsidRDefault="008C3CC5" w:rsidP="00EC19B1">
      <w:pPr>
        <w:tabs>
          <w:tab w:val="left" w:pos="720"/>
          <w:tab w:val="left" w:pos="1440"/>
          <w:tab w:val="left" w:pos="2160"/>
          <w:tab w:val="left" w:pos="2880"/>
          <w:tab w:val="left" w:pos="3600"/>
        </w:tabs>
        <w:ind w:left="720"/>
      </w:pPr>
      <w:r w:rsidRPr="00F00206">
        <w:t xml:space="preserve">A personal representative, trustee, grantee, </w:t>
      </w:r>
      <w:proofErr w:type="spellStart"/>
      <w:r w:rsidR="00593C52" w:rsidRPr="00F00206">
        <w:t>donee</w:t>
      </w:r>
      <w:proofErr w:type="spellEnd"/>
      <w:r w:rsidR="00593C52" w:rsidRPr="00F00206">
        <w:t>,</w:t>
      </w:r>
      <w:r w:rsidRPr="00F00206">
        <w:t xml:space="preserve"> or other beneficial recipient of assets of an estate remains personally liable for </w:t>
      </w:r>
      <w:r w:rsidR="00935699" w:rsidRPr="00F00206">
        <w:t>any</w:t>
      </w:r>
      <w:r w:rsidRPr="00F00206">
        <w:t xml:space="preserve"> </w:t>
      </w:r>
      <w:r w:rsidR="00C7115F" w:rsidRPr="00F00206">
        <w:t xml:space="preserve">Maine </w:t>
      </w:r>
      <w:r w:rsidRPr="00F00206">
        <w:t xml:space="preserve">estate tax until those taxes are paid.  </w:t>
      </w:r>
      <w:r w:rsidR="00EC19B1" w:rsidRPr="00F00206">
        <w:t xml:space="preserve">A personal representative may request a discharge of personal liability by filing a Certificate of Discharge of Personal Representative Liability and upon payment of any </w:t>
      </w:r>
      <w:r w:rsidR="00C7115F" w:rsidRPr="00F00206">
        <w:t xml:space="preserve">Maine </w:t>
      </w:r>
      <w:r w:rsidR="00ED3CD7" w:rsidRPr="00F00206">
        <w:t xml:space="preserve">estate </w:t>
      </w:r>
      <w:r w:rsidR="00EC19B1" w:rsidRPr="00F00206">
        <w:t>tax due</w:t>
      </w:r>
      <w:r w:rsidR="007464B7" w:rsidRPr="00F00206">
        <w:t xml:space="preserve"> along with filing the Form 706ME</w:t>
      </w:r>
      <w:r w:rsidR="00EC19B1" w:rsidRPr="00F00206">
        <w:t xml:space="preserve">, may receive the discharge from liability as to any </w:t>
      </w:r>
      <w:r w:rsidR="00C7115F" w:rsidRPr="00F00206">
        <w:t xml:space="preserve">Maine </w:t>
      </w:r>
      <w:r w:rsidR="00EC19B1" w:rsidRPr="00F00206">
        <w:t xml:space="preserve">estate tax subsequently determined to be due.  The estate, trustee, grantee, </w:t>
      </w:r>
      <w:proofErr w:type="spellStart"/>
      <w:r w:rsidR="00EC19B1" w:rsidRPr="00F00206">
        <w:t>donee</w:t>
      </w:r>
      <w:proofErr w:type="spellEnd"/>
      <w:r w:rsidR="00ED3CD7" w:rsidRPr="00F00206">
        <w:t>,</w:t>
      </w:r>
      <w:r w:rsidR="00EC19B1" w:rsidRPr="00F00206">
        <w:t xml:space="preserve"> or other beneficial recipient of assets </w:t>
      </w:r>
      <w:r w:rsidR="00ED3CD7" w:rsidRPr="00F00206">
        <w:t xml:space="preserve">of the estate </w:t>
      </w:r>
      <w:r w:rsidR="00EC19B1" w:rsidRPr="00F00206">
        <w:t xml:space="preserve">remains liable for any </w:t>
      </w:r>
      <w:r w:rsidR="00ED3CD7" w:rsidRPr="00F00206">
        <w:t xml:space="preserve">Maine </w:t>
      </w:r>
      <w:r w:rsidR="00EC19B1" w:rsidRPr="00F00206">
        <w:t xml:space="preserve">estate tax subsequently determined to be due. </w:t>
      </w:r>
    </w:p>
    <w:p w14:paraId="25D57EB9" w14:textId="77777777" w:rsidR="00EC19B1" w:rsidRPr="00AC2DA9" w:rsidRDefault="00EC19B1" w:rsidP="00823712">
      <w:pPr>
        <w:pStyle w:val="Header"/>
        <w:tabs>
          <w:tab w:val="clear" w:pos="4320"/>
          <w:tab w:val="clear" w:pos="8640"/>
          <w:tab w:val="left" w:pos="6900"/>
        </w:tabs>
        <w:rPr>
          <w:b/>
        </w:rPr>
      </w:pPr>
    </w:p>
    <w:p w14:paraId="0A6B37B5" w14:textId="77777777" w:rsidR="005B0C1B" w:rsidRPr="00AC2DA9" w:rsidRDefault="005B0C1B" w:rsidP="00823712">
      <w:pPr>
        <w:pStyle w:val="Header"/>
        <w:tabs>
          <w:tab w:val="clear" w:pos="4320"/>
          <w:tab w:val="clear" w:pos="8640"/>
          <w:tab w:val="left" w:pos="6900"/>
        </w:tabs>
        <w:rPr>
          <w:b/>
        </w:rPr>
      </w:pPr>
    </w:p>
    <w:p w14:paraId="4E44CC95" w14:textId="77777777" w:rsidR="00EC19B1" w:rsidRPr="00AC2DA9" w:rsidRDefault="00EC19B1" w:rsidP="00EC19B1">
      <w:pPr>
        <w:pStyle w:val="Header"/>
        <w:tabs>
          <w:tab w:val="left" w:pos="720"/>
          <w:tab w:val="left" w:pos="1440"/>
          <w:tab w:val="left" w:pos="2160"/>
          <w:tab w:val="left" w:pos="2880"/>
          <w:tab w:val="left" w:pos="3600"/>
        </w:tabs>
        <w:rPr>
          <w:b/>
        </w:rPr>
      </w:pPr>
      <w:r w:rsidRPr="00AC2DA9">
        <w:rPr>
          <w:b/>
        </w:rPr>
        <w:t>.1</w:t>
      </w:r>
      <w:r w:rsidR="00F24E3E" w:rsidRPr="00AC2DA9">
        <w:rPr>
          <w:b/>
        </w:rPr>
        <w:t>2</w:t>
      </w:r>
      <w:r w:rsidRPr="00AC2DA9">
        <w:rPr>
          <w:b/>
        </w:rPr>
        <w:tab/>
        <w:t>Liens and lien releases</w:t>
      </w:r>
    </w:p>
    <w:p w14:paraId="406941F3" w14:textId="77777777" w:rsidR="00EC19B1" w:rsidRPr="00AC2DA9" w:rsidRDefault="00EC19B1" w:rsidP="00EC19B1">
      <w:pPr>
        <w:pStyle w:val="Header"/>
        <w:tabs>
          <w:tab w:val="left" w:pos="720"/>
          <w:tab w:val="left" w:pos="1440"/>
          <w:tab w:val="left" w:pos="2160"/>
          <w:tab w:val="left" w:pos="2880"/>
          <w:tab w:val="left" w:pos="3600"/>
        </w:tabs>
        <w:rPr>
          <w:b/>
        </w:rPr>
      </w:pPr>
    </w:p>
    <w:p w14:paraId="2113EE9B" w14:textId="08E83967" w:rsidR="00EC19B1" w:rsidRPr="00F00206" w:rsidRDefault="00B204A2" w:rsidP="00EC19B1">
      <w:pPr>
        <w:pStyle w:val="Header"/>
        <w:tabs>
          <w:tab w:val="left" w:pos="720"/>
          <w:tab w:val="left" w:pos="1440"/>
          <w:tab w:val="left" w:pos="2160"/>
          <w:tab w:val="left" w:pos="2880"/>
          <w:tab w:val="left" w:pos="3600"/>
        </w:tabs>
        <w:ind w:left="720"/>
        <w:rPr>
          <w:strike/>
        </w:rPr>
      </w:pPr>
      <w:r w:rsidRPr="00F00206">
        <w:t xml:space="preserve">Except as otherwise provided by law, an </w:t>
      </w:r>
      <w:r w:rsidR="00EC19B1" w:rsidRPr="00F00206">
        <w:t xml:space="preserve">automatic lien for </w:t>
      </w:r>
      <w:r w:rsidR="00C7115F" w:rsidRPr="00F00206">
        <w:t xml:space="preserve">Maine </w:t>
      </w:r>
      <w:r w:rsidR="00EC19B1" w:rsidRPr="00F00206">
        <w:t xml:space="preserve">estate tax, interest and penalties attaches to all Maine property </w:t>
      </w:r>
      <w:r w:rsidR="00ED3CD7" w:rsidRPr="00F00206">
        <w:t>(real and personal)</w:t>
      </w:r>
      <w:r w:rsidR="005908B8" w:rsidRPr="00F00206">
        <w:t xml:space="preserve"> </w:t>
      </w:r>
      <w:r w:rsidR="00EC19B1" w:rsidRPr="00F00206">
        <w:t xml:space="preserve">owned by a decedent at death.  </w:t>
      </w:r>
      <w:r w:rsidR="00E57564" w:rsidRPr="00F00206">
        <w:t>The lien does not attach to any property passing by right of survivorship to a surviving joint tenant who was the decedent’s spouse on the decedent’s date of death.</w:t>
      </w:r>
      <w:r w:rsidR="0084590E" w:rsidRPr="00F00206">
        <w:t xml:space="preserve"> </w:t>
      </w:r>
      <w:r w:rsidR="00E57564" w:rsidRPr="00F00206">
        <w:t xml:space="preserve"> </w:t>
      </w:r>
      <w:r w:rsidR="00EC19B1" w:rsidRPr="00F00206">
        <w:t>The lien continues until it is released</w:t>
      </w:r>
      <w:r w:rsidR="002E07DD" w:rsidRPr="00F00206">
        <w:t xml:space="preserve"> by the Assessor</w:t>
      </w:r>
      <w:r w:rsidRPr="00F00206">
        <w:t>, except that</w:t>
      </w:r>
      <w:r w:rsidR="002E07DD" w:rsidRPr="00F00206">
        <w:t>:</w:t>
      </w:r>
    </w:p>
    <w:p w14:paraId="14B5764B" w14:textId="77777777" w:rsidR="002E07DD" w:rsidRPr="00AC2DA9" w:rsidRDefault="002E07DD" w:rsidP="00EC19B1">
      <w:pPr>
        <w:pStyle w:val="Header"/>
        <w:tabs>
          <w:tab w:val="left" w:pos="720"/>
          <w:tab w:val="left" w:pos="1440"/>
          <w:tab w:val="left" w:pos="2160"/>
          <w:tab w:val="left" w:pos="2880"/>
          <w:tab w:val="left" w:pos="3600"/>
        </w:tabs>
        <w:ind w:left="720"/>
      </w:pPr>
    </w:p>
    <w:p w14:paraId="1087E7C0" w14:textId="77777777" w:rsidR="002E07DD" w:rsidRPr="00AC2DA9" w:rsidRDefault="002E07DD" w:rsidP="0084590E">
      <w:pPr>
        <w:pStyle w:val="Header"/>
        <w:numPr>
          <w:ilvl w:val="0"/>
          <w:numId w:val="4"/>
        </w:numPr>
        <w:tabs>
          <w:tab w:val="left" w:pos="720"/>
          <w:tab w:val="left" w:pos="1440"/>
          <w:tab w:val="left" w:pos="1800"/>
          <w:tab w:val="left" w:pos="2880"/>
          <w:tab w:val="left" w:pos="3600"/>
        </w:tabs>
        <w:spacing w:after="240"/>
      </w:pPr>
      <w:r w:rsidRPr="00AC2DA9">
        <w:t>The lien is</w:t>
      </w:r>
      <w:r w:rsidR="0084590E" w:rsidRPr="00AC2DA9">
        <w:t xml:space="preserve"> automatically</w:t>
      </w:r>
      <w:r w:rsidRPr="00AC2DA9">
        <w:t xml:space="preserve"> released by operation of law when the personal representative of the estate, the trustee of a trust or surviving joint tenant of the property, each acting in the capacity of a fiduciary of the estate, transfers the property for value as defined pursuant to </w:t>
      </w:r>
      <w:r w:rsidR="00AE104F" w:rsidRPr="00AC2DA9">
        <w:t>36 M.R.S.</w:t>
      </w:r>
      <w:r w:rsidR="00DF3C8B" w:rsidRPr="00AC2DA9">
        <w:t>,</w:t>
      </w:r>
      <w:r w:rsidR="00AE104F" w:rsidRPr="00AC2DA9">
        <w:t xml:space="preserve"> </w:t>
      </w:r>
      <w:r w:rsidRPr="00AC2DA9">
        <w:t xml:space="preserve">Chapter 577.  However, the lien continues to attach to any property that is transferred for less than its value or when transferred by any other party. </w:t>
      </w:r>
    </w:p>
    <w:p w14:paraId="48D275AF" w14:textId="77777777" w:rsidR="002E07DD" w:rsidRPr="00AC2DA9" w:rsidRDefault="002E07DD" w:rsidP="002E07DD">
      <w:pPr>
        <w:pStyle w:val="Header"/>
        <w:numPr>
          <w:ilvl w:val="0"/>
          <w:numId w:val="4"/>
        </w:numPr>
        <w:tabs>
          <w:tab w:val="left" w:pos="720"/>
          <w:tab w:val="left" w:pos="1440"/>
          <w:tab w:val="left" w:pos="1800"/>
          <w:tab w:val="left" w:pos="2880"/>
          <w:tab w:val="left" w:pos="3600"/>
        </w:tabs>
      </w:pPr>
      <w:r w:rsidRPr="00AC2DA9">
        <w:t xml:space="preserve">The lien is </w:t>
      </w:r>
      <w:r w:rsidR="0084590E" w:rsidRPr="00AC2DA9">
        <w:t xml:space="preserve">automatically </w:t>
      </w:r>
      <w:r w:rsidRPr="00AC2DA9">
        <w:t>released</w:t>
      </w:r>
      <w:r w:rsidR="0084590E" w:rsidRPr="00AC2DA9">
        <w:t xml:space="preserve"> by operation of law</w:t>
      </w:r>
      <w:r w:rsidRPr="00AC2DA9">
        <w:t xml:space="preserve"> </w:t>
      </w:r>
      <w:r w:rsidR="0084590E" w:rsidRPr="00AC2DA9">
        <w:t>ten years after the decedent’s date of death.</w:t>
      </w:r>
    </w:p>
    <w:p w14:paraId="4CF9989C" w14:textId="77777777" w:rsidR="002E07DD" w:rsidRPr="00AC2DA9" w:rsidRDefault="002E07DD" w:rsidP="00EC19B1">
      <w:pPr>
        <w:pStyle w:val="Header"/>
        <w:tabs>
          <w:tab w:val="left" w:pos="720"/>
          <w:tab w:val="left" w:pos="1440"/>
          <w:tab w:val="left" w:pos="2160"/>
          <w:tab w:val="left" w:pos="2880"/>
          <w:tab w:val="left" w:pos="3600"/>
        </w:tabs>
        <w:ind w:left="720"/>
      </w:pPr>
    </w:p>
    <w:p w14:paraId="1E6070F1" w14:textId="46E386CA" w:rsidR="00EC19B1" w:rsidRPr="00F00206" w:rsidRDefault="00EC19B1" w:rsidP="00EC19B1">
      <w:pPr>
        <w:pStyle w:val="Header"/>
        <w:tabs>
          <w:tab w:val="left" w:pos="720"/>
          <w:tab w:val="left" w:pos="1440"/>
          <w:tab w:val="left" w:pos="2160"/>
          <w:tab w:val="left" w:pos="2880"/>
          <w:tab w:val="left" w:pos="3600"/>
        </w:tabs>
        <w:ind w:left="720"/>
      </w:pPr>
      <w:r w:rsidRPr="00F00206">
        <w:t>When a personal representative of an estate files a completed Certificate of Discharge of Estate Tax Lien, the Assessor will release the lien upon a</w:t>
      </w:r>
      <w:r w:rsidR="00345CAD" w:rsidRPr="00F00206">
        <w:t>n initial</w:t>
      </w:r>
      <w:r w:rsidRPr="00F00206">
        <w:t xml:space="preserve"> showing by the estate that all taxes, interes</w:t>
      </w:r>
      <w:r w:rsidR="006D4E8B" w:rsidRPr="00F00206">
        <w:t xml:space="preserve">t, and penalties have been paid by filing Form 706ME showing any tax due has been paid </w:t>
      </w:r>
      <w:r w:rsidR="006F5647" w:rsidRPr="00F00206">
        <w:t>or submitting</w:t>
      </w:r>
      <w:r w:rsidR="006D4E8B" w:rsidRPr="00F00206">
        <w:t xml:space="preserve"> </w:t>
      </w:r>
      <w:r w:rsidR="00D432F8" w:rsidRPr="00F00206">
        <w:t xml:space="preserve">Statement </w:t>
      </w:r>
      <w:r w:rsidR="006D4E8B" w:rsidRPr="00F00206">
        <w:t xml:space="preserve">700-SOV representing that no </w:t>
      </w:r>
      <w:r w:rsidR="00C7115F" w:rsidRPr="00F00206">
        <w:t xml:space="preserve">Maine </w:t>
      </w:r>
      <w:r w:rsidR="006D4E8B" w:rsidRPr="00F00206">
        <w:t>estate tax is due</w:t>
      </w:r>
      <w:r w:rsidRPr="00F00206">
        <w:t>.</w:t>
      </w:r>
    </w:p>
    <w:p w14:paraId="74D97FFA" w14:textId="77777777" w:rsidR="00EC19B1" w:rsidRPr="00AC2DA9" w:rsidRDefault="00EC19B1" w:rsidP="00EC19B1">
      <w:pPr>
        <w:pStyle w:val="Header"/>
        <w:tabs>
          <w:tab w:val="left" w:pos="720"/>
          <w:tab w:val="left" w:pos="1440"/>
          <w:tab w:val="left" w:pos="2160"/>
          <w:tab w:val="left" w:pos="2880"/>
          <w:tab w:val="left" w:pos="3600"/>
        </w:tabs>
        <w:ind w:left="720"/>
      </w:pPr>
    </w:p>
    <w:p w14:paraId="570F7D06" w14:textId="77777777" w:rsidR="00404089" w:rsidRPr="00AC2DA9" w:rsidRDefault="00404089" w:rsidP="00EC19B1">
      <w:pPr>
        <w:pStyle w:val="Header"/>
        <w:tabs>
          <w:tab w:val="left" w:pos="720"/>
          <w:tab w:val="left" w:pos="1440"/>
          <w:tab w:val="left" w:pos="2160"/>
          <w:tab w:val="left" w:pos="2880"/>
          <w:tab w:val="left" w:pos="3600"/>
        </w:tabs>
        <w:ind w:left="720"/>
      </w:pPr>
    </w:p>
    <w:p w14:paraId="083C3BE8" w14:textId="77777777" w:rsidR="00EC19B1" w:rsidRPr="00AC2DA9" w:rsidRDefault="00EC19B1" w:rsidP="00EC19B1">
      <w:pPr>
        <w:tabs>
          <w:tab w:val="left" w:pos="720"/>
          <w:tab w:val="left" w:pos="1440"/>
          <w:tab w:val="left" w:pos="2160"/>
          <w:tab w:val="left" w:pos="2880"/>
          <w:tab w:val="left" w:pos="3600"/>
        </w:tabs>
        <w:rPr>
          <w:b/>
        </w:rPr>
      </w:pPr>
      <w:r w:rsidRPr="00AC2DA9">
        <w:rPr>
          <w:b/>
        </w:rPr>
        <w:t>.1</w:t>
      </w:r>
      <w:r w:rsidR="00F24E3E" w:rsidRPr="00AC2DA9">
        <w:rPr>
          <w:b/>
        </w:rPr>
        <w:t>3</w:t>
      </w:r>
      <w:r w:rsidRPr="00AC2DA9">
        <w:rPr>
          <w:b/>
        </w:rPr>
        <w:tab/>
        <w:t>Application date</w:t>
      </w:r>
    </w:p>
    <w:p w14:paraId="09D2D5E7" w14:textId="77777777" w:rsidR="00EC19B1" w:rsidRPr="00AC2DA9" w:rsidRDefault="00EC19B1" w:rsidP="00EC19B1">
      <w:pPr>
        <w:tabs>
          <w:tab w:val="left" w:pos="720"/>
          <w:tab w:val="left" w:pos="1440"/>
          <w:tab w:val="left" w:pos="2160"/>
          <w:tab w:val="left" w:pos="2880"/>
          <w:tab w:val="left" w:pos="3600"/>
        </w:tabs>
      </w:pPr>
    </w:p>
    <w:p w14:paraId="7864AF3E" w14:textId="77777777" w:rsidR="00EC19B1" w:rsidRPr="00AC2DA9" w:rsidRDefault="00EC19B1" w:rsidP="00EC19B1">
      <w:pPr>
        <w:tabs>
          <w:tab w:val="left" w:pos="720"/>
          <w:tab w:val="left" w:pos="1440"/>
          <w:tab w:val="left" w:pos="2160"/>
          <w:tab w:val="left" w:pos="2880"/>
          <w:tab w:val="left" w:pos="3600"/>
        </w:tabs>
        <w:ind w:left="720" w:hanging="720"/>
      </w:pPr>
      <w:r w:rsidRPr="00AC2DA9">
        <w:tab/>
        <w:t xml:space="preserve">This Rule applies to estates of decedents dying on or after January 1, </w:t>
      </w:r>
      <w:r w:rsidR="002F3FCE" w:rsidRPr="00AC2DA9">
        <w:t>201</w:t>
      </w:r>
      <w:r w:rsidR="00D75D9F" w:rsidRPr="00AC2DA9">
        <w:t>3</w:t>
      </w:r>
      <w:r w:rsidRPr="00AC2DA9">
        <w:t>.</w:t>
      </w:r>
    </w:p>
    <w:p w14:paraId="49A3E3CB" w14:textId="77777777" w:rsidR="00EC19B1" w:rsidRPr="00AC2DA9" w:rsidRDefault="00EC19B1" w:rsidP="00EC19B1">
      <w:pPr>
        <w:pStyle w:val="Header"/>
        <w:pBdr>
          <w:bottom w:val="single" w:sz="4" w:space="1" w:color="auto"/>
        </w:pBdr>
        <w:tabs>
          <w:tab w:val="left" w:pos="720"/>
          <w:tab w:val="left" w:pos="1440"/>
          <w:tab w:val="left" w:pos="2160"/>
          <w:tab w:val="left" w:pos="2880"/>
          <w:tab w:val="left" w:pos="3600"/>
        </w:tabs>
      </w:pPr>
    </w:p>
    <w:p w14:paraId="2F66CFC5" w14:textId="77777777" w:rsidR="00EC19B1" w:rsidRPr="00AC2DA9" w:rsidRDefault="00EC19B1" w:rsidP="00EC19B1">
      <w:pPr>
        <w:pStyle w:val="Header"/>
        <w:tabs>
          <w:tab w:val="left" w:pos="720"/>
          <w:tab w:val="left" w:pos="1440"/>
          <w:tab w:val="left" w:pos="2160"/>
          <w:tab w:val="left" w:pos="2880"/>
          <w:tab w:val="left" w:pos="3600"/>
        </w:tabs>
      </w:pPr>
    </w:p>
    <w:p w14:paraId="163D770F" w14:textId="77777777" w:rsidR="00EC19B1" w:rsidRPr="00AC2DA9" w:rsidRDefault="00EC19B1" w:rsidP="00EC19B1">
      <w:pPr>
        <w:pStyle w:val="Header"/>
        <w:tabs>
          <w:tab w:val="left" w:pos="720"/>
          <w:tab w:val="left" w:pos="1440"/>
          <w:tab w:val="left" w:pos="2160"/>
          <w:tab w:val="left" w:pos="2880"/>
          <w:tab w:val="left" w:pos="3600"/>
        </w:tabs>
      </w:pPr>
    </w:p>
    <w:p w14:paraId="4F0D40A8" w14:textId="77777777" w:rsidR="00EC19B1" w:rsidRPr="00AC2DA9" w:rsidRDefault="00EC19B1" w:rsidP="00EC19B1">
      <w:pPr>
        <w:pStyle w:val="Header"/>
        <w:tabs>
          <w:tab w:val="left" w:pos="720"/>
          <w:tab w:val="left" w:pos="1440"/>
          <w:tab w:val="left" w:pos="2160"/>
          <w:tab w:val="left" w:pos="2880"/>
          <w:tab w:val="left" w:pos="3600"/>
        </w:tabs>
        <w:outlineLvl w:val="0"/>
      </w:pPr>
      <w:r w:rsidRPr="00AC2DA9">
        <w:t xml:space="preserve">STATUTORY AUTHORITY: 36 </w:t>
      </w:r>
      <w:r w:rsidR="00C67790" w:rsidRPr="00AC2DA9">
        <w:t>M.R.S.</w:t>
      </w:r>
      <w:r w:rsidRPr="00AC2DA9">
        <w:t xml:space="preserve"> §</w:t>
      </w:r>
      <w:r w:rsidR="00593C52" w:rsidRPr="00AC2DA9">
        <w:t xml:space="preserve"> </w:t>
      </w:r>
      <w:r w:rsidRPr="00AC2DA9">
        <w:t>112</w:t>
      </w:r>
    </w:p>
    <w:p w14:paraId="4A764E70" w14:textId="77777777" w:rsidR="00EC19B1" w:rsidRPr="00AC2DA9" w:rsidRDefault="00EC19B1" w:rsidP="00EC19B1">
      <w:pPr>
        <w:pStyle w:val="Header"/>
        <w:tabs>
          <w:tab w:val="left" w:pos="720"/>
          <w:tab w:val="left" w:pos="1440"/>
          <w:tab w:val="left" w:pos="2160"/>
          <w:tab w:val="left" w:pos="2880"/>
          <w:tab w:val="left" w:pos="3600"/>
        </w:tabs>
      </w:pPr>
    </w:p>
    <w:p w14:paraId="37ABFD9F" w14:textId="77777777" w:rsidR="00EC19B1" w:rsidRPr="00AC2DA9" w:rsidRDefault="00EC19B1" w:rsidP="00EC19B1">
      <w:pPr>
        <w:pStyle w:val="Header"/>
        <w:tabs>
          <w:tab w:val="left" w:pos="720"/>
          <w:tab w:val="left" w:pos="1440"/>
          <w:tab w:val="left" w:pos="2160"/>
          <w:tab w:val="left" w:pos="2880"/>
          <w:tab w:val="left" w:pos="3600"/>
        </w:tabs>
        <w:outlineLvl w:val="0"/>
      </w:pPr>
      <w:r w:rsidRPr="00AC2DA9">
        <w:t>EFFECTIVE DATE:</w:t>
      </w:r>
    </w:p>
    <w:p w14:paraId="5C2D9BEB" w14:textId="77777777" w:rsidR="006D5F9E" w:rsidRPr="00AC2DA9" w:rsidRDefault="00EC19B1" w:rsidP="00D75D9F">
      <w:pPr>
        <w:pStyle w:val="Header"/>
        <w:tabs>
          <w:tab w:val="left" w:pos="720"/>
          <w:tab w:val="left" w:pos="1440"/>
          <w:tab w:val="left" w:pos="2160"/>
          <w:tab w:val="left" w:pos="2880"/>
          <w:tab w:val="left" w:pos="3600"/>
        </w:tabs>
        <w:outlineLvl w:val="0"/>
      </w:pPr>
      <w:r w:rsidRPr="00AC2DA9">
        <w:tab/>
      </w:r>
      <w:r w:rsidR="000B7DAB" w:rsidRPr="00AC2DA9">
        <w:t xml:space="preserve">October </w:t>
      </w:r>
      <w:r w:rsidR="00F42BD9" w:rsidRPr="00AC2DA9">
        <w:t>15</w:t>
      </w:r>
      <w:r w:rsidR="000B7DAB" w:rsidRPr="00AC2DA9">
        <w:t>, 2013 – filing 2013-250</w:t>
      </w:r>
    </w:p>
    <w:p w14:paraId="5CC37A6F" w14:textId="77777777" w:rsidR="002F7101" w:rsidRDefault="002F7101" w:rsidP="00D75D9F">
      <w:pPr>
        <w:pStyle w:val="Header"/>
        <w:tabs>
          <w:tab w:val="left" w:pos="720"/>
          <w:tab w:val="left" w:pos="1440"/>
          <w:tab w:val="left" w:pos="2160"/>
          <w:tab w:val="left" w:pos="2880"/>
          <w:tab w:val="left" w:pos="3600"/>
        </w:tabs>
        <w:outlineLvl w:val="0"/>
      </w:pPr>
      <w:r w:rsidRPr="00AC2DA9">
        <w:tab/>
        <w:t>April 2</w:t>
      </w:r>
      <w:r w:rsidR="00F969FA" w:rsidRPr="00AC2DA9">
        <w:t>8</w:t>
      </w:r>
      <w:r w:rsidRPr="00AC2DA9">
        <w:t>, 2015 – filing 2015-078</w:t>
      </w:r>
    </w:p>
    <w:p w14:paraId="3682A04C" w14:textId="6119C024" w:rsidR="00F00206" w:rsidRPr="00AC2DA9" w:rsidRDefault="00F00206" w:rsidP="00D75D9F">
      <w:pPr>
        <w:pStyle w:val="Header"/>
        <w:tabs>
          <w:tab w:val="left" w:pos="720"/>
          <w:tab w:val="left" w:pos="1440"/>
          <w:tab w:val="left" w:pos="2160"/>
          <w:tab w:val="left" w:pos="2880"/>
          <w:tab w:val="left" w:pos="3600"/>
        </w:tabs>
        <w:outlineLvl w:val="0"/>
      </w:pPr>
      <w:r>
        <w:tab/>
        <w:t xml:space="preserve">April </w:t>
      </w:r>
      <w:r w:rsidR="00D554DC">
        <w:t>27</w:t>
      </w:r>
      <w:r w:rsidR="00D554DC">
        <w:t xml:space="preserve">, </w:t>
      </w:r>
      <w:r>
        <w:t>2024 – filing 2024</w:t>
      </w:r>
      <w:r w:rsidR="00D554DC">
        <w:t>-</w:t>
      </w:r>
      <w:r w:rsidR="00D554DC">
        <w:t>093</w:t>
      </w:r>
    </w:p>
    <w:sectPr w:rsidR="00F00206" w:rsidRPr="00AC2DA9" w:rsidSect="00833073">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E57F" w14:textId="77777777" w:rsidR="00307DBC" w:rsidRDefault="00307DBC" w:rsidP="00DF3C8B">
      <w:r>
        <w:separator/>
      </w:r>
    </w:p>
  </w:endnote>
  <w:endnote w:type="continuationSeparator" w:id="0">
    <w:p w14:paraId="509116D5" w14:textId="77777777" w:rsidR="00307DBC" w:rsidRDefault="00307DBC" w:rsidP="00DF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0A34" w14:textId="77777777" w:rsidR="00DF3C8B" w:rsidRPr="00DF3C8B" w:rsidRDefault="00DF3C8B" w:rsidP="00DF3C8B">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A8F0" w14:textId="77777777" w:rsidR="00307DBC" w:rsidRDefault="00307DBC" w:rsidP="00DF3C8B">
      <w:r>
        <w:separator/>
      </w:r>
    </w:p>
  </w:footnote>
  <w:footnote w:type="continuationSeparator" w:id="0">
    <w:p w14:paraId="6FBBE605" w14:textId="77777777" w:rsidR="00307DBC" w:rsidRDefault="00307DBC" w:rsidP="00DF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ED70" w14:textId="77777777" w:rsidR="00833073" w:rsidRPr="00833073" w:rsidRDefault="00833073" w:rsidP="00833073">
    <w:pPr>
      <w:pStyle w:val="DefaultText"/>
      <w:pBdr>
        <w:bottom w:val="single" w:sz="4" w:space="1" w:color="auto"/>
      </w:pBdr>
      <w:tabs>
        <w:tab w:val="left" w:pos="720"/>
        <w:tab w:val="left" w:pos="1440"/>
        <w:tab w:val="left" w:pos="2160"/>
        <w:tab w:val="left" w:pos="2880"/>
        <w:tab w:val="left" w:pos="3600"/>
      </w:tabs>
      <w:jc w:val="right"/>
      <w:outlineLvl w:val="0"/>
      <w:rPr>
        <w:b/>
        <w:bCs/>
        <w:sz w:val="22"/>
        <w:szCs w:val="24"/>
      </w:rPr>
    </w:pPr>
    <w:r w:rsidRPr="00833073">
      <w:rPr>
        <w:sz w:val="18"/>
      </w:rPr>
      <w:t>18-125 Chapter 60</w:t>
    </w:r>
    <w:r>
      <w:rPr>
        <w:sz w:val="18"/>
      </w:rPr>
      <w:t>3</w:t>
    </w:r>
    <w:r w:rsidRPr="00833073">
      <w:rPr>
        <w:sz w:val="18"/>
      </w:rPr>
      <w:t xml:space="preserve"> Page </w:t>
    </w:r>
    <w:r w:rsidRPr="00833073">
      <w:rPr>
        <w:sz w:val="18"/>
      </w:rPr>
      <w:fldChar w:fldCharType="begin"/>
    </w:r>
    <w:r w:rsidRPr="00833073">
      <w:rPr>
        <w:sz w:val="18"/>
      </w:rPr>
      <w:instrText xml:space="preserve"> PAGE   \* MERGEFORMAT </w:instrText>
    </w:r>
    <w:r w:rsidRPr="00833073">
      <w:rPr>
        <w:sz w:val="18"/>
      </w:rPr>
      <w:fldChar w:fldCharType="separate"/>
    </w:r>
    <w:r w:rsidR="00AC2DA9">
      <w:rPr>
        <w:noProof/>
        <w:sz w:val="18"/>
      </w:rPr>
      <w:t>2</w:t>
    </w:r>
    <w:r w:rsidRPr="00833073">
      <w:rPr>
        <w:noProo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4A5"/>
    <w:multiLevelType w:val="hybridMultilevel"/>
    <w:tmpl w:val="FFD2BB4A"/>
    <w:lvl w:ilvl="0" w:tplc="74FEC784">
      <w:start w:val="1"/>
      <w:numFmt w:val="lowerLetter"/>
      <w:lvlText w:val="%1."/>
      <w:lvlJc w:val="left"/>
      <w:pPr>
        <w:tabs>
          <w:tab w:val="num" w:pos="2520"/>
        </w:tabs>
        <w:ind w:left="2520" w:hanging="360"/>
      </w:pPr>
      <w:rPr>
        <w:rFonts w:hint="default"/>
        <w:strike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EE45720"/>
    <w:multiLevelType w:val="hybridMultilevel"/>
    <w:tmpl w:val="01A0D2CE"/>
    <w:lvl w:ilvl="0" w:tplc="16EE13B2">
      <w:start w:val="3"/>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7676747"/>
    <w:multiLevelType w:val="hybridMultilevel"/>
    <w:tmpl w:val="A0627F1A"/>
    <w:lvl w:ilvl="0" w:tplc="685E5DEC">
      <w:start w:val="3"/>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0C4603F"/>
    <w:multiLevelType w:val="hybridMultilevel"/>
    <w:tmpl w:val="BB0AF6BE"/>
    <w:lvl w:ilvl="0" w:tplc="88905D9E">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3095320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2054034">
    <w:abstractNumId w:val="0"/>
  </w:num>
  <w:num w:numId="3" w16cid:durableId="1448543252">
    <w:abstractNumId w:val="1"/>
  </w:num>
  <w:num w:numId="4" w16cid:durableId="417486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B1"/>
    <w:rsid w:val="0000008A"/>
    <w:rsid w:val="00000DBC"/>
    <w:rsid w:val="00001D66"/>
    <w:rsid w:val="00002B27"/>
    <w:rsid w:val="000048B6"/>
    <w:rsid w:val="00004D1F"/>
    <w:rsid w:val="00005D06"/>
    <w:rsid w:val="0001068D"/>
    <w:rsid w:val="00010C42"/>
    <w:rsid w:val="0001505A"/>
    <w:rsid w:val="00016B93"/>
    <w:rsid w:val="000175E5"/>
    <w:rsid w:val="00022A02"/>
    <w:rsid w:val="00023321"/>
    <w:rsid w:val="00023908"/>
    <w:rsid w:val="00024964"/>
    <w:rsid w:val="00024B26"/>
    <w:rsid w:val="00026C8D"/>
    <w:rsid w:val="00026E94"/>
    <w:rsid w:val="00027423"/>
    <w:rsid w:val="00027A14"/>
    <w:rsid w:val="00027C72"/>
    <w:rsid w:val="00031516"/>
    <w:rsid w:val="00032AD0"/>
    <w:rsid w:val="00035589"/>
    <w:rsid w:val="000365F5"/>
    <w:rsid w:val="00043D47"/>
    <w:rsid w:val="000449A5"/>
    <w:rsid w:val="00045A8C"/>
    <w:rsid w:val="00045C93"/>
    <w:rsid w:val="00045D7A"/>
    <w:rsid w:val="00045DDB"/>
    <w:rsid w:val="00046AF2"/>
    <w:rsid w:val="000474B7"/>
    <w:rsid w:val="0004787E"/>
    <w:rsid w:val="00047F38"/>
    <w:rsid w:val="000546B7"/>
    <w:rsid w:val="000548EE"/>
    <w:rsid w:val="00054B5E"/>
    <w:rsid w:val="0005579D"/>
    <w:rsid w:val="00055961"/>
    <w:rsid w:val="00055BB1"/>
    <w:rsid w:val="000570CF"/>
    <w:rsid w:val="00060AB8"/>
    <w:rsid w:val="000619DF"/>
    <w:rsid w:val="00061C9D"/>
    <w:rsid w:val="000623DB"/>
    <w:rsid w:val="00063C44"/>
    <w:rsid w:val="00065887"/>
    <w:rsid w:val="00066AD7"/>
    <w:rsid w:val="0006756D"/>
    <w:rsid w:val="00067DFE"/>
    <w:rsid w:val="00072836"/>
    <w:rsid w:val="00072AB3"/>
    <w:rsid w:val="00075CD6"/>
    <w:rsid w:val="00077680"/>
    <w:rsid w:val="00077F32"/>
    <w:rsid w:val="00080535"/>
    <w:rsid w:val="000811C8"/>
    <w:rsid w:val="000816B2"/>
    <w:rsid w:val="00083510"/>
    <w:rsid w:val="000839B4"/>
    <w:rsid w:val="0008402D"/>
    <w:rsid w:val="0008544E"/>
    <w:rsid w:val="00091FF4"/>
    <w:rsid w:val="00093360"/>
    <w:rsid w:val="000A2CA4"/>
    <w:rsid w:val="000A3419"/>
    <w:rsid w:val="000A394A"/>
    <w:rsid w:val="000A49F2"/>
    <w:rsid w:val="000A5B0E"/>
    <w:rsid w:val="000A66AA"/>
    <w:rsid w:val="000B0327"/>
    <w:rsid w:val="000B06D4"/>
    <w:rsid w:val="000B2C44"/>
    <w:rsid w:val="000B4910"/>
    <w:rsid w:val="000B7DAB"/>
    <w:rsid w:val="000C092B"/>
    <w:rsid w:val="000C44AE"/>
    <w:rsid w:val="000C5646"/>
    <w:rsid w:val="000C5E22"/>
    <w:rsid w:val="000D1F26"/>
    <w:rsid w:val="000D41C8"/>
    <w:rsid w:val="000D4842"/>
    <w:rsid w:val="000D57BA"/>
    <w:rsid w:val="000D74B4"/>
    <w:rsid w:val="000E1380"/>
    <w:rsid w:val="000E163B"/>
    <w:rsid w:val="000E21A8"/>
    <w:rsid w:val="000E2361"/>
    <w:rsid w:val="000E3E2D"/>
    <w:rsid w:val="000E516A"/>
    <w:rsid w:val="000E558B"/>
    <w:rsid w:val="000E6879"/>
    <w:rsid w:val="000E7F18"/>
    <w:rsid w:val="000F121C"/>
    <w:rsid w:val="000F59CC"/>
    <w:rsid w:val="00100FA6"/>
    <w:rsid w:val="0010260C"/>
    <w:rsid w:val="001032AC"/>
    <w:rsid w:val="001036E2"/>
    <w:rsid w:val="00103F1B"/>
    <w:rsid w:val="00111E9C"/>
    <w:rsid w:val="001120EB"/>
    <w:rsid w:val="00112AC6"/>
    <w:rsid w:val="00112FE6"/>
    <w:rsid w:val="00113309"/>
    <w:rsid w:val="001144A2"/>
    <w:rsid w:val="0011499C"/>
    <w:rsid w:val="00115F02"/>
    <w:rsid w:val="00115F94"/>
    <w:rsid w:val="0011621E"/>
    <w:rsid w:val="001177BE"/>
    <w:rsid w:val="00117E60"/>
    <w:rsid w:val="001219DE"/>
    <w:rsid w:val="001220EF"/>
    <w:rsid w:val="001223E1"/>
    <w:rsid w:val="0012306E"/>
    <w:rsid w:val="001245C6"/>
    <w:rsid w:val="00126939"/>
    <w:rsid w:val="0012761B"/>
    <w:rsid w:val="00130E61"/>
    <w:rsid w:val="00131D69"/>
    <w:rsid w:val="001333EB"/>
    <w:rsid w:val="00133907"/>
    <w:rsid w:val="00134441"/>
    <w:rsid w:val="001362AA"/>
    <w:rsid w:val="00136794"/>
    <w:rsid w:val="00140068"/>
    <w:rsid w:val="001407A5"/>
    <w:rsid w:val="00140CA0"/>
    <w:rsid w:val="0014163D"/>
    <w:rsid w:val="001423A4"/>
    <w:rsid w:val="00144D1A"/>
    <w:rsid w:val="00145903"/>
    <w:rsid w:val="00152D31"/>
    <w:rsid w:val="00153AC8"/>
    <w:rsid w:val="00154DD9"/>
    <w:rsid w:val="0015545D"/>
    <w:rsid w:val="001602E4"/>
    <w:rsid w:val="001615DF"/>
    <w:rsid w:val="00162079"/>
    <w:rsid w:val="00162445"/>
    <w:rsid w:val="0016294C"/>
    <w:rsid w:val="0016374D"/>
    <w:rsid w:val="0016538D"/>
    <w:rsid w:val="001674EC"/>
    <w:rsid w:val="001677C8"/>
    <w:rsid w:val="00170150"/>
    <w:rsid w:val="0017020B"/>
    <w:rsid w:val="001709E8"/>
    <w:rsid w:val="00172454"/>
    <w:rsid w:val="00173318"/>
    <w:rsid w:val="00176B69"/>
    <w:rsid w:val="001777E3"/>
    <w:rsid w:val="0018018B"/>
    <w:rsid w:val="00181BFA"/>
    <w:rsid w:val="00182C38"/>
    <w:rsid w:val="00184861"/>
    <w:rsid w:val="00184B74"/>
    <w:rsid w:val="00184DC4"/>
    <w:rsid w:val="00185E8F"/>
    <w:rsid w:val="00186ECD"/>
    <w:rsid w:val="00187845"/>
    <w:rsid w:val="00190823"/>
    <w:rsid w:val="001909C2"/>
    <w:rsid w:val="00191CE8"/>
    <w:rsid w:val="0019261B"/>
    <w:rsid w:val="0019273F"/>
    <w:rsid w:val="0019497D"/>
    <w:rsid w:val="00194C92"/>
    <w:rsid w:val="00194D39"/>
    <w:rsid w:val="00195184"/>
    <w:rsid w:val="001951BB"/>
    <w:rsid w:val="001A0014"/>
    <w:rsid w:val="001A3A08"/>
    <w:rsid w:val="001A5D3F"/>
    <w:rsid w:val="001A7660"/>
    <w:rsid w:val="001A77F8"/>
    <w:rsid w:val="001B1194"/>
    <w:rsid w:val="001B19F7"/>
    <w:rsid w:val="001B28CD"/>
    <w:rsid w:val="001B2A52"/>
    <w:rsid w:val="001B472B"/>
    <w:rsid w:val="001B6466"/>
    <w:rsid w:val="001B6C82"/>
    <w:rsid w:val="001B7744"/>
    <w:rsid w:val="001B7D58"/>
    <w:rsid w:val="001C0977"/>
    <w:rsid w:val="001C0CCE"/>
    <w:rsid w:val="001C1214"/>
    <w:rsid w:val="001C4018"/>
    <w:rsid w:val="001C5610"/>
    <w:rsid w:val="001D42EB"/>
    <w:rsid w:val="001D63DD"/>
    <w:rsid w:val="001D678F"/>
    <w:rsid w:val="001E21BC"/>
    <w:rsid w:val="001E2F88"/>
    <w:rsid w:val="001E5202"/>
    <w:rsid w:val="001E63C9"/>
    <w:rsid w:val="001E7971"/>
    <w:rsid w:val="001F145E"/>
    <w:rsid w:val="001F1923"/>
    <w:rsid w:val="001F1C53"/>
    <w:rsid w:val="001F4A04"/>
    <w:rsid w:val="001F4F0D"/>
    <w:rsid w:val="00200644"/>
    <w:rsid w:val="00201963"/>
    <w:rsid w:val="00202195"/>
    <w:rsid w:val="00202725"/>
    <w:rsid w:val="00204047"/>
    <w:rsid w:val="002044D1"/>
    <w:rsid w:val="0020587E"/>
    <w:rsid w:val="00205B39"/>
    <w:rsid w:val="00205DA4"/>
    <w:rsid w:val="00206710"/>
    <w:rsid w:val="00206AB5"/>
    <w:rsid w:val="002073F2"/>
    <w:rsid w:val="0021137E"/>
    <w:rsid w:val="00211F4B"/>
    <w:rsid w:val="00212E1D"/>
    <w:rsid w:val="00217887"/>
    <w:rsid w:val="002220BD"/>
    <w:rsid w:val="00224DEA"/>
    <w:rsid w:val="00225184"/>
    <w:rsid w:val="00226065"/>
    <w:rsid w:val="00227AA6"/>
    <w:rsid w:val="00227D5E"/>
    <w:rsid w:val="0023068E"/>
    <w:rsid w:val="002309F3"/>
    <w:rsid w:val="00232860"/>
    <w:rsid w:val="00234E45"/>
    <w:rsid w:val="00237B06"/>
    <w:rsid w:val="00237D8E"/>
    <w:rsid w:val="00240C64"/>
    <w:rsid w:val="00241019"/>
    <w:rsid w:val="00241C92"/>
    <w:rsid w:val="0024567A"/>
    <w:rsid w:val="00245851"/>
    <w:rsid w:val="0024634A"/>
    <w:rsid w:val="0024656E"/>
    <w:rsid w:val="00246B63"/>
    <w:rsid w:val="00247818"/>
    <w:rsid w:val="00251F2B"/>
    <w:rsid w:val="0025256E"/>
    <w:rsid w:val="00252903"/>
    <w:rsid w:val="00253814"/>
    <w:rsid w:val="00253DCD"/>
    <w:rsid w:val="00254EA0"/>
    <w:rsid w:val="00255676"/>
    <w:rsid w:val="0025688B"/>
    <w:rsid w:val="00257D3C"/>
    <w:rsid w:val="00257ECD"/>
    <w:rsid w:val="00260792"/>
    <w:rsid w:val="002609AC"/>
    <w:rsid w:val="00260A4F"/>
    <w:rsid w:val="0026447C"/>
    <w:rsid w:val="00266515"/>
    <w:rsid w:val="002702B0"/>
    <w:rsid w:val="00271271"/>
    <w:rsid w:val="00271846"/>
    <w:rsid w:val="002731D0"/>
    <w:rsid w:val="00273952"/>
    <w:rsid w:val="00273F7E"/>
    <w:rsid w:val="00276271"/>
    <w:rsid w:val="00280872"/>
    <w:rsid w:val="00287791"/>
    <w:rsid w:val="00287E8B"/>
    <w:rsid w:val="0029119A"/>
    <w:rsid w:val="00291464"/>
    <w:rsid w:val="00293051"/>
    <w:rsid w:val="002936F4"/>
    <w:rsid w:val="00293E94"/>
    <w:rsid w:val="00296E0A"/>
    <w:rsid w:val="00297354"/>
    <w:rsid w:val="002978F2"/>
    <w:rsid w:val="002A0D21"/>
    <w:rsid w:val="002A535D"/>
    <w:rsid w:val="002A7AD3"/>
    <w:rsid w:val="002B01BA"/>
    <w:rsid w:val="002B03ED"/>
    <w:rsid w:val="002B123F"/>
    <w:rsid w:val="002B26B3"/>
    <w:rsid w:val="002B4B90"/>
    <w:rsid w:val="002B6E6F"/>
    <w:rsid w:val="002C0CF5"/>
    <w:rsid w:val="002C0D63"/>
    <w:rsid w:val="002C382F"/>
    <w:rsid w:val="002C42B0"/>
    <w:rsid w:val="002C49DA"/>
    <w:rsid w:val="002C51E6"/>
    <w:rsid w:val="002C5DE2"/>
    <w:rsid w:val="002C5F32"/>
    <w:rsid w:val="002C62DA"/>
    <w:rsid w:val="002C62E2"/>
    <w:rsid w:val="002C76A8"/>
    <w:rsid w:val="002C7A7A"/>
    <w:rsid w:val="002C7C17"/>
    <w:rsid w:val="002C7F0D"/>
    <w:rsid w:val="002D0443"/>
    <w:rsid w:val="002D2D55"/>
    <w:rsid w:val="002D30FD"/>
    <w:rsid w:val="002D50F7"/>
    <w:rsid w:val="002D5286"/>
    <w:rsid w:val="002E07DD"/>
    <w:rsid w:val="002E591D"/>
    <w:rsid w:val="002E6568"/>
    <w:rsid w:val="002E7D31"/>
    <w:rsid w:val="002E7E23"/>
    <w:rsid w:val="002F23DC"/>
    <w:rsid w:val="002F3FCE"/>
    <w:rsid w:val="002F410C"/>
    <w:rsid w:val="002F45F2"/>
    <w:rsid w:val="002F618F"/>
    <w:rsid w:val="002F7101"/>
    <w:rsid w:val="002F7B69"/>
    <w:rsid w:val="00300647"/>
    <w:rsid w:val="00300794"/>
    <w:rsid w:val="00300A89"/>
    <w:rsid w:val="00300F8F"/>
    <w:rsid w:val="0030253F"/>
    <w:rsid w:val="003047BB"/>
    <w:rsid w:val="003067B4"/>
    <w:rsid w:val="00307DBC"/>
    <w:rsid w:val="0031436E"/>
    <w:rsid w:val="003169A7"/>
    <w:rsid w:val="00316A89"/>
    <w:rsid w:val="003172D6"/>
    <w:rsid w:val="003204BE"/>
    <w:rsid w:val="003220AC"/>
    <w:rsid w:val="00323E1E"/>
    <w:rsid w:val="003247C2"/>
    <w:rsid w:val="00325384"/>
    <w:rsid w:val="0032643B"/>
    <w:rsid w:val="00326646"/>
    <w:rsid w:val="00330F63"/>
    <w:rsid w:val="0033238C"/>
    <w:rsid w:val="00332753"/>
    <w:rsid w:val="00334B21"/>
    <w:rsid w:val="003364CE"/>
    <w:rsid w:val="00340DD7"/>
    <w:rsid w:val="0034159D"/>
    <w:rsid w:val="00343BA4"/>
    <w:rsid w:val="00345CAD"/>
    <w:rsid w:val="003468FD"/>
    <w:rsid w:val="0034757E"/>
    <w:rsid w:val="00347763"/>
    <w:rsid w:val="003553E9"/>
    <w:rsid w:val="00355FEC"/>
    <w:rsid w:val="00357ED7"/>
    <w:rsid w:val="00360465"/>
    <w:rsid w:val="00361B4B"/>
    <w:rsid w:val="003626D8"/>
    <w:rsid w:val="0036454B"/>
    <w:rsid w:val="00365CC7"/>
    <w:rsid w:val="00370854"/>
    <w:rsid w:val="00371733"/>
    <w:rsid w:val="00373CFB"/>
    <w:rsid w:val="003752E9"/>
    <w:rsid w:val="00375DB4"/>
    <w:rsid w:val="0037721F"/>
    <w:rsid w:val="0038022B"/>
    <w:rsid w:val="00381C32"/>
    <w:rsid w:val="003820F8"/>
    <w:rsid w:val="00382406"/>
    <w:rsid w:val="00384128"/>
    <w:rsid w:val="0038561F"/>
    <w:rsid w:val="0038674F"/>
    <w:rsid w:val="00390EA9"/>
    <w:rsid w:val="00390F50"/>
    <w:rsid w:val="0039336A"/>
    <w:rsid w:val="0039431E"/>
    <w:rsid w:val="00394F34"/>
    <w:rsid w:val="00397E19"/>
    <w:rsid w:val="00397E44"/>
    <w:rsid w:val="003A1393"/>
    <w:rsid w:val="003A2F03"/>
    <w:rsid w:val="003A4CDE"/>
    <w:rsid w:val="003A4DF5"/>
    <w:rsid w:val="003A580E"/>
    <w:rsid w:val="003B148B"/>
    <w:rsid w:val="003B1F47"/>
    <w:rsid w:val="003B280E"/>
    <w:rsid w:val="003B4CED"/>
    <w:rsid w:val="003C02FB"/>
    <w:rsid w:val="003C1056"/>
    <w:rsid w:val="003C257F"/>
    <w:rsid w:val="003D49E3"/>
    <w:rsid w:val="003D4D99"/>
    <w:rsid w:val="003D51C4"/>
    <w:rsid w:val="003D54F6"/>
    <w:rsid w:val="003D6BC3"/>
    <w:rsid w:val="003D7732"/>
    <w:rsid w:val="003E0AE9"/>
    <w:rsid w:val="003E1277"/>
    <w:rsid w:val="003E1569"/>
    <w:rsid w:val="003E162B"/>
    <w:rsid w:val="003E1717"/>
    <w:rsid w:val="003E1A8E"/>
    <w:rsid w:val="003E3539"/>
    <w:rsid w:val="003E3F84"/>
    <w:rsid w:val="003E41B3"/>
    <w:rsid w:val="003E6B14"/>
    <w:rsid w:val="003E722E"/>
    <w:rsid w:val="003E736F"/>
    <w:rsid w:val="003E752F"/>
    <w:rsid w:val="003F38F8"/>
    <w:rsid w:val="003F7BDE"/>
    <w:rsid w:val="003F7DED"/>
    <w:rsid w:val="0040075D"/>
    <w:rsid w:val="00401C10"/>
    <w:rsid w:val="004033DD"/>
    <w:rsid w:val="00403400"/>
    <w:rsid w:val="0040387F"/>
    <w:rsid w:val="00404089"/>
    <w:rsid w:val="00404830"/>
    <w:rsid w:val="00406284"/>
    <w:rsid w:val="00406516"/>
    <w:rsid w:val="00406E3E"/>
    <w:rsid w:val="004117BF"/>
    <w:rsid w:val="00412851"/>
    <w:rsid w:val="0041306E"/>
    <w:rsid w:val="00413E64"/>
    <w:rsid w:val="00416C5D"/>
    <w:rsid w:val="00420905"/>
    <w:rsid w:val="0042193A"/>
    <w:rsid w:val="00425FF4"/>
    <w:rsid w:val="004261E2"/>
    <w:rsid w:val="004305FA"/>
    <w:rsid w:val="004328B3"/>
    <w:rsid w:val="00433E9D"/>
    <w:rsid w:val="004340A2"/>
    <w:rsid w:val="004408A0"/>
    <w:rsid w:val="00440928"/>
    <w:rsid w:val="0044176A"/>
    <w:rsid w:val="00441AF5"/>
    <w:rsid w:val="004429B1"/>
    <w:rsid w:val="00443A8B"/>
    <w:rsid w:val="00444751"/>
    <w:rsid w:val="00444B2D"/>
    <w:rsid w:val="00447FE5"/>
    <w:rsid w:val="00452908"/>
    <w:rsid w:val="00453988"/>
    <w:rsid w:val="00454B45"/>
    <w:rsid w:val="004555D2"/>
    <w:rsid w:val="00455C46"/>
    <w:rsid w:val="00456054"/>
    <w:rsid w:val="004560CF"/>
    <w:rsid w:val="00461EB7"/>
    <w:rsid w:val="00462C52"/>
    <w:rsid w:val="00462E1F"/>
    <w:rsid w:val="00465915"/>
    <w:rsid w:val="00465D2D"/>
    <w:rsid w:val="00467495"/>
    <w:rsid w:val="00472D50"/>
    <w:rsid w:val="00474944"/>
    <w:rsid w:val="00475B2E"/>
    <w:rsid w:val="004764ED"/>
    <w:rsid w:val="00476C00"/>
    <w:rsid w:val="00477223"/>
    <w:rsid w:val="00480099"/>
    <w:rsid w:val="0048029D"/>
    <w:rsid w:val="00480ECA"/>
    <w:rsid w:val="00481755"/>
    <w:rsid w:val="00481B82"/>
    <w:rsid w:val="004823DA"/>
    <w:rsid w:val="00483739"/>
    <w:rsid w:val="00483AB7"/>
    <w:rsid w:val="00486195"/>
    <w:rsid w:val="004865C7"/>
    <w:rsid w:val="00486D9B"/>
    <w:rsid w:val="00487448"/>
    <w:rsid w:val="00487A11"/>
    <w:rsid w:val="00487E69"/>
    <w:rsid w:val="004933C4"/>
    <w:rsid w:val="004934E3"/>
    <w:rsid w:val="00494710"/>
    <w:rsid w:val="0049607A"/>
    <w:rsid w:val="00497974"/>
    <w:rsid w:val="00497A06"/>
    <w:rsid w:val="004A2406"/>
    <w:rsid w:val="004A2CE4"/>
    <w:rsid w:val="004A3FAB"/>
    <w:rsid w:val="004A56AC"/>
    <w:rsid w:val="004B0220"/>
    <w:rsid w:val="004B0922"/>
    <w:rsid w:val="004B3704"/>
    <w:rsid w:val="004B3765"/>
    <w:rsid w:val="004B4202"/>
    <w:rsid w:val="004B4B5A"/>
    <w:rsid w:val="004B4D59"/>
    <w:rsid w:val="004B56EE"/>
    <w:rsid w:val="004B5B38"/>
    <w:rsid w:val="004B75E1"/>
    <w:rsid w:val="004B7C82"/>
    <w:rsid w:val="004C5699"/>
    <w:rsid w:val="004C6B88"/>
    <w:rsid w:val="004D00F3"/>
    <w:rsid w:val="004D0FDA"/>
    <w:rsid w:val="004D156C"/>
    <w:rsid w:val="004D247A"/>
    <w:rsid w:val="004D4177"/>
    <w:rsid w:val="004D47DB"/>
    <w:rsid w:val="004E02C2"/>
    <w:rsid w:val="004E0901"/>
    <w:rsid w:val="004E0F6F"/>
    <w:rsid w:val="004E198A"/>
    <w:rsid w:val="004E56DA"/>
    <w:rsid w:val="004F0451"/>
    <w:rsid w:val="004F0FB2"/>
    <w:rsid w:val="004F1412"/>
    <w:rsid w:val="004F1478"/>
    <w:rsid w:val="004F33FC"/>
    <w:rsid w:val="004F5D0F"/>
    <w:rsid w:val="004F6792"/>
    <w:rsid w:val="004F7637"/>
    <w:rsid w:val="00500D32"/>
    <w:rsid w:val="00500D5A"/>
    <w:rsid w:val="0050120C"/>
    <w:rsid w:val="00501672"/>
    <w:rsid w:val="00502D2A"/>
    <w:rsid w:val="00504A5A"/>
    <w:rsid w:val="005064A9"/>
    <w:rsid w:val="00506BE2"/>
    <w:rsid w:val="00507371"/>
    <w:rsid w:val="005074BC"/>
    <w:rsid w:val="00510388"/>
    <w:rsid w:val="00510D8C"/>
    <w:rsid w:val="00510DC2"/>
    <w:rsid w:val="00512BE5"/>
    <w:rsid w:val="005136FC"/>
    <w:rsid w:val="00513D7F"/>
    <w:rsid w:val="00514EC8"/>
    <w:rsid w:val="005151A9"/>
    <w:rsid w:val="00515C49"/>
    <w:rsid w:val="005178B7"/>
    <w:rsid w:val="00517BC7"/>
    <w:rsid w:val="00517E81"/>
    <w:rsid w:val="00523F39"/>
    <w:rsid w:val="005261FA"/>
    <w:rsid w:val="00531B26"/>
    <w:rsid w:val="005327F7"/>
    <w:rsid w:val="00533679"/>
    <w:rsid w:val="0053774D"/>
    <w:rsid w:val="00542CF8"/>
    <w:rsid w:val="005441AC"/>
    <w:rsid w:val="00544C53"/>
    <w:rsid w:val="00544F32"/>
    <w:rsid w:val="005454BA"/>
    <w:rsid w:val="0054709A"/>
    <w:rsid w:val="00547D14"/>
    <w:rsid w:val="00550F3C"/>
    <w:rsid w:val="0055150E"/>
    <w:rsid w:val="00551F02"/>
    <w:rsid w:val="005526E3"/>
    <w:rsid w:val="005528F6"/>
    <w:rsid w:val="00553772"/>
    <w:rsid w:val="00554B2D"/>
    <w:rsid w:val="00555778"/>
    <w:rsid w:val="00560B65"/>
    <w:rsid w:val="00561171"/>
    <w:rsid w:val="0056269F"/>
    <w:rsid w:val="00562733"/>
    <w:rsid w:val="00562A01"/>
    <w:rsid w:val="0056751E"/>
    <w:rsid w:val="00567E25"/>
    <w:rsid w:val="00570105"/>
    <w:rsid w:val="0057085D"/>
    <w:rsid w:val="00572651"/>
    <w:rsid w:val="0057321A"/>
    <w:rsid w:val="005739F6"/>
    <w:rsid w:val="005758D7"/>
    <w:rsid w:val="0058114D"/>
    <w:rsid w:val="00581302"/>
    <w:rsid w:val="0058449B"/>
    <w:rsid w:val="00586E42"/>
    <w:rsid w:val="00590623"/>
    <w:rsid w:val="005908B8"/>
    <w:rsid w:val="005934B5"/>
    <w:rsid w:val="00593C52"/>
    <w:rsid w:val="005941E7"/>
    <w:rsid w:val="005941FB"/>
    <w:rsid w:val="00594C60"/>
    <w:rsid w:val="005954A0"/>
    <w:rsid w:val="005970CD"/>
    <w:rsid w:val="005979BA"/>
    <w:rsid w:val="005A04CC"/>
    <w:rsid w:val="005A13D8"/>
    <w:rsid w:val="005A1F68"/>
    <w:rsid w:val="005A41E5"/>
    <w:rsid w:val="005A44D4"/>
    <w:rsid w:val="005A493B"/>
    <w:rsid w:val="005A57EA"/>
    <w:rsid w:val="005A7E61"/>
    <w:rsid w:val="005B054B"/>
    <w:rsid w:val="005B0BB6"/>
    <w:rsid w:val="005B0C1B"/>
    <w:rsid w:val="005B12B4"/>
    <w:rsid w:val="005B1549"/>
    <w:rsid w:val="005B7779"/>
    <w:rsid w:val="005B7796"/>
    <w:rsid w:val="005C248F"/>
    <w:rsid w:val="005C49AC"/>
    <w:rsid w:val="005D2F4B"/>
    <w:rsid w:val="005D6214"/>
    <w:rsid w:val="005D68A9"/>
    <w:rsid w:val="005E0A64"/>
    <w:rsid w:val="005E13D7"/>
    <w:rsid w:val="005E469E"/>
    <w:rsid w:val="005E4F71"/>
    <w:rsid w:val="005E7DE7"/>
    <w:rsid w:val="005F0286"/>
    <w:rsid w:val="005F1320"/>
    <w:rsid w:val="005F1BED"/>
    <w:rsid w:val="005F2314"/>
    <w:rsid w:val="005F4861"/>
    <w:rsid w:val="005F54A2"/>
    <w:rsid w:val="005F54F3"/>
    <w:rsid w:val="005F57A3"/>
    <w:rsid w:val="005F6A6F"/>
    <w:rsid w:val="005F7D04"/>
    <w:rsid w:val="00600147"/>
    <w:rsid w:val="00600598"/>
    <w:rsid w:val="006005E7"/>
    <w:rsid w:val="006018A2"/>
    <w:rsid w:val="00602E0E"/>
    <w:rsid w:val="00604D14"/>
    <w:rsid w:val="006053D9"/>
    <w:rsid w:val="006060D2"/>
    <w:rsid w:val="00607695"/>
    <w:rsid w:val="00610F58"/>
    <w:rsid w:val="00611A27"/>
    <w:rsid w:val="00611F11"/>
    <w:rsid w:val="006141C7"/>
    <w:rsid w:val="006144B7"/>
    <w:rsid w:val="006146E2"/>
    <w:rsid w:val="00614AA4"/>
    <w:rsid w:val="0061590D"/>
    <w:rsid w:val="00616C62"/>
    <w:rsid w:val="0062452D"/>
    <w:rsid w:val="00624BCE"/>
    <w:rsid w:val="006251E6"/>
    <w:rsid w:val="006258DD"/>
    <w:rsid w:val="00627377"/>
    <w:rsid w:val="00630C54"/>
    <w:rsid w:val="00633514"/>
    <w:rsid w:val="00633CCC"/>
    <w:rsid w:val="006344BA"/>
    <w:rsid w:val="00635AB3"/>
    <w:rsid w:val="006364E1"/>
    <w:rsid w:val="006417E3"/>
    <w:rsid w:val="0064264C"/>
    <w:rsid w:val="00642CA3"/>
    <w:rsid w:val="00642CBB"/>
    <w:rsid w:val="00642FCD"/>
    <w:rsid w:val="00643EA7"/>
    <w:rsid w:val="006443E3"/>
    <w:rsid w:val="00644B1B"/>
    <w:rsid w:val="00645A0D"/>
    <w:rsid w:val="00647C46"/>
    <w:rsid w:val="006526FC"/>
    <w:rsid w:val="006528AA"/>
    <w:rsid w:val="00652A83"/>
    <w:rsid w:val="006533AE"/>
    <w:rsid w:val="00655053"/>
    <w:rsid w:val="00655157"/>
    <w:rsid w:val="006558C8"/>
    <w:rsid w:val="00655F3B"/>
    <w:rsid w:val="006578C1"/>
    <w:rsid w:val="00664865"/>
    <w:rsid w:val="00664EDC"/>
    <w:rsid w:val="006655E2"/>
    <w:rsid w:val="0066661E"/>
    <w:rsid w:val="00670A7F"/>
    <w:rsid w:val="00673F82"/>
    <w:rsid w:val="00677831"/>
    <w:rsid w:val="00680D5E"/>
    <w:rsid w:val="00686540"/>
    <w:rsid w:val="00690DBD"/>
    <w:rsid w:val="006914E7"/>
    <w:rsid w:val="00691607"/>
    <w:rsid w:val="00691A7A"/>
    <w:rsid w:val="006921D2"/>
    <w:rsid w:val="006929F8"/>
    <w:rsid w:val="00694D50"/>
    <w:rsid w:val="00694F93"/>
    <w:rsid w:val="00695CD6"/>
    <w:rsid w:val="006960E3"/>
    <w:rsid w:val="006964BF"/>
    <w:rsid w:val="00696688"/>
    <w:rsid w:val="00697653"/>
    <w:rsid w:val="006A34F1"/>
    <w:rsid w:val="006A455F"/>
    <w:rsid w:val="006A6852"/>
    <w:rsid w:val="006A7190"/>
    <w:rsid w:val="006A7CAC"/>
    <w:rsid w:val="006B0608"/>
    <w:rsid w:val="006B09B6"/>
    <w:rsid w:val="006B12F2"/>
    <w:rsid w:val="006B137E"/>
    <w:rsid w:val="006B2931"/>
    <w:rsid w:val="006B2B68"/>
    <w:rsid w:val="006B2FC8"/>
    <w:rsid w:val="006B39EB"/>
    <w:rsid w:val="006B3F16"/>
    <w:rsid w:val="006B4101"/>
    <w:rsid w:val="006B799D"/>
    <w:rsid w:val="006C0ECD"/>
    <w:rsid w:val="006C1208"/>
    <w:rsid w:val="006C1DE3"/>
    <w:rsid w:val="006C249F"/>
    <w:rsid w:val="006C2F06"/>
    <w:rsid w:val="006C4CE1"/>
    <w:rsid w:val="006C5554"/>
    <w:rsid w:val="006C6DAD"/>
    <w:rsid w:val="006C7C6E"/>
    <w:rsid w:val="006D0316"/>
    <w:rsid w:val="006D2B83"/>
    <w:rsid w:val="006D4E8B"/>
    <w:rsid w:val="006D5506"/>
    <w:rsid w:val="006D5F9E"/>
    <w:rsid w:val="006E09E8"/>
    <w:rsid w:val="006E0A25"/>
    <w:rsid w:val="006E2BAC"/>
    <w:rsid w:val="006E44CD"/>
    <w:rsid w:val="006E4AAA"/>
    <w:rsid w:val="006E602E"/>
    <w:rsid w:val="006E670D"/>
    <w:rsid w:val="006E7365"/>
    <w:rsid w:val="006E7558"/>
    <w:rsid w:val="006E794C"/>
    <w:rsid w:val="006F1774"/>
    <w:rsid w:val="006F1AF9"/>
    <w:rsid w:val="006F2421"/>
    <w:rsid w:val="006F3AB4"/>
    <w:rsid w:val="006F4084"/>
    <w:rsid w:val="006F4296"/>
    <w:rsid w:val="006F5495"/>
    <w:rsid w:val="006F5647"/>
    <w:rsid w:val="006F5747"/>
    <w:rsid w:val="006F7D57"/>
    <w:rsid w:val="006F7D9D"/>
    <w:rsid w:val="007001DF"/>
    <w:rsid w:val="00701264"/>
    <w:rsid w:val="00702D0C"/>
    <w:rsid w:val="00702DCA"/>
    <w:rsid w:val="0070364F"/>
    <w:rsid w:val="0070463F"/>
    <w:rsid w:val="007051D4"/>
    <w:rsid w:val="007056B8"/>
    <w:rsid w:val="00705920"/>
    <w:rsid w:val="00705AE8"/>
    <w:rsid w:val="007066A7"/>
    <w:rsid w:val="007116C3"/>
    <w:rsid w:val="00711A23"/>
    <w:rsid w:val="00713385"/>
    <w:rsid w:val="00713708"/>
    <w:rsid w:val="00714C83"/>
    <w:rsid w:val="007156A4"/>
    <w:rsid w:val="00716062"/>
    <w:rsid w:val="0072310E"/>
    <w:rsid w:val="007233EB"/>
    <w:rsid w:val="00725745"/>
    <w:rsid w:val="00726D8D"/>
    <w:rsid w:val="007278DE"/>
    <w:rsid w:val="00733412"/>
    <w:rsid w:val="007344FF"/>
    <w:rsid w:val="00736582"/>
    <w:rsid w:val="00740206"/>
    <w:rsid w:val="007406AC"/>
    <w:rsid w:val="00741C23"/>
    <w:rsid w:val="007422AA"/>
    <w:rsid w:val="007446F1"/>
    <w:rsid w:val="007449C7"/>
    <w:rsid w:val="007464B7"/>
    <w:rsid w:val="007476F2"/>
    <w:rsid w:val="00747C27"/>
    <w:rsid w:val="00750403"/>
    <w:rsid w:val="00751FD8"/>
    <w:rsid w:val="00753490"/>
    <w:rsid w:val="00755F73"/>
    <w:rsid w:val="007572E2"/>
    <w:rsid w:val="007633C2"/>
    <w:rsid w:val="00764C50"/>
    <w:rsid w:val="00765557"/>
    <w:rsid w:val="00765A47"/>
    <w:rsid w:val="00767CFA"/>
    <w:rsid w:val="00770921"/>
    <w:rsid w:val="00770EA6"/>
    <w:rsid w:val="00771885"/>
    <w:rsid w:val="00771C7C"/>
    <w:rsid w:val="00772167"/>
    <w:rsid w:val="00772B13"/>
    <w:rsid w:val="007740C9"/>
    <w:rsid w:val="007741E0"/>
    <w:rsid w:val="00774EAE"/>
    <w:rsid w:val="00775802"/>
    <w:rsid w:val="007806B7"/>
    <w:rsid w:val="007808B6"/>
    <w:rsid w:val="0078591D"/>
    <w:rsid w:val="0078709D"/>
    <w:rsid w:val="007875DE"/>
    <w:rsid w:val="007908A3"/>
    <w:rsid w:val="00790FA7"/>
    <w:rsid w:val="00791ADC"/>
    <w:rsid w:val="007929DE"/>
    <w:rsid w:val="007930F4"/>
    <w:rsid w:val="00793B97"/>
    <w:rsid w:val="00796ABB"/>
    <w:rsid w:val="007A09E1"/>
    <w:rsid w:val="007A2455"/>
    <w:rsid w:val="007A2E9E"/>
    <w:rsid w:val="007A31B3"/>
    <w:rsid w:val="007A3A67"/>
    <w:rsid w:val="007A41B2"/>
    <w:rsid w:val="007A45D8"/>
    <w:rsid w:val="007A5A31"/>
    <w:rsid w:val="007A5E67"/>
    <w:rsid w:val="007A69CA"/>
    <w:rsid w:val="007A7725"/>
    <w:rsid w:val="007B0105"/>
    <w:rsid w:val="007B0699"/>
    <w:rsid w:val="007B28E4"/>
    <w:rsid w:val="007B2C1B"/>
    <w:rsid w:val="007B2E61"/>
    <w:rsid w:val="007B418B"/>
    <w:rsid w:val="007B6807"/>
    <w:rsid w:val="007C029E"/>
    <w:rsid w:val="007C0E43"/>
    <w:rsid w:val="007C0EE9"/>
    <w:rsid w:val="007C19B8"/>
    <w:rsid w:val="007C26CB"/>
    <w:rsid w:val="007C2C4C"/>
    <w:rsid w:val="007C3B6E"/>
    <w:rsid w:val="007C4034"/>
    <w:rsid w:val="007C4627"/>
    <w:rsid w:val="007C464C"/>
    <w:rsid w:val="007C5452"/>
    <w:rsid w:val="007C58D3"/>
    <w:rsid w:val="007C5E84"/>
    <w:rsid w:val="007C68D5"/>
    <w:rsid w:val="007C6EBA"/>
    <w:rsid w:val="007D118E"/>
    <w:rsid w:val="007D19F8"/>
    <w:rsid w:val="007D2A80"/>
    <w:rsid w:val="007D30C7"/>
    <w:rsid w:val="007D4118"/>
    <w:rsid w:val="007D473E"/>
    <w:rsid w:val="007D79E2"/>
    <w:rsid w:val="007E1B02"/>
    <w:rsid w:val="007E1F88"/>
    <w:rsid w:val="007E25DD"/>
    <w:rsid w:val="007E5CD1"/>
    <w:rsid w:val="007E79EB"/>
    <w:rsid w:val="007F02F1"/>
    <w:rsid w:val="007F034B"/>
    <w:rsid w:val="007F09F0"/>
    <w:rsid w:val="007F19FE"/>
    <w:rsid w:val="007F1CB7"/>
    <w:rsid w:val="007F2343"/>
    <w:rsid w:val="007F277B"/>
    <w:rsid w:val="007F3C86"/>
    <w:rsid w:val="007F3F22"/>
    <w:rsid w:val="007F76AB"/>
    <w:rsid w:val="007F7FB8"/>
    <w:rsid w:val="008010A4"/>
    <w:rsid w:val="00801C0C"/>
    <w:rsid w:val="008027A8"/>
    <w:rsid w:val="00804483"/>
    <w:rsid w:val="008048AD"/>
    <w:rsid w:val="00805913"/>
    <w:rsid w:val="00805CA8"/>
    <w:rsid w:val="00807AF7"/>
    <w:rsid w:val="00811483"/>
    <w:rsid w:val="00812223"/>
    <w:rsid w:val="008130BA"/>
    <w:rsid w:val="00813DBC"/>
    <w:rsid w:val="00814C6E"/>
    <w:rsid w:val="00814DB7"/>
    <w:rsid w:val="00817260"/>
    <w:rsid w:val="0081770E"/>
    <w:rsid w:val="00817BE4"/>
    <w:rsid w:val="00821B4E"/>
    <w:rsid w:val="00821C9C"/>
    <w:rsid w:val="00822319"/>
    <w:rsid w:val="00822691"/>
    <w:rsid w:val="00822AFE"/>
    <w:rsid w:val="00823712"/>
    <w:rsid w:val="00823DEF"/>
    <w:rsid w:val="00824488"/>
    <w:rsid w:val="00825BAF"/>
    <w:rsid w:val="008265E4"/>
    <w:rsid w:val="00826F56"/>
    <w:rsid w:val="008273B2"/>
    <w:rsid w:val="00830F41"/>
    <w:rsid w:val="00833073"/>
    <w:rsid w:val="008333CB"/>
    <w:rsid w:val="00833531"/>
    <w:rsid w:val="00834F79"/>
    <w:rsid w:val="008365AF"/>
    <w:rsid w:val="00841C24"/>
    <w:rsid w:val="00842366"/>
    <w:rsid w:val="0084590E"/>
    <w:rsid w:val="00845BD8"/>
    <w:rsid w:val="00845EDB"/>
    <w:rsid w:val="008540DC"/>
    <w:rsid w:val="00854245"/>
    <w:rsid w:val="00855879"/>
    <w:rsid w:val="00862D37"/>
    <w:rsid w:val="008636D7"/>
    <w:rsid w:val="00864C9C"/>
    <w:rsid w:val="00865616"/>
    <w:rsid w:val="00870877"/>
    <w:rsid w:val="0087299E"/>
    <w:rsid w:val="00872CF6"/>
    <w:rsid w:val="008753BE"/>
    <w:rsid w:val="00875DBF"/>
    <w:rsid w:val="0087732F"/>
    <w:rsid w:val="0088056D"/>
    <w:rsid w:val="00881195"/>
    <w:rsid w:val="00885629"/>
    <w:rsid w:val="008870B7"/>
    <w:rsid w:val="00891453"/>
    <w:rsid w:val="0089170E"/>
    <w:rsid w:val="00891D69"/>
    <w:rsid w:val="00892620"/>
    <w:rsid w:val="0089321F"/>
    <w:rsid w:val="008948DF"/>
    <w:rsid w:val="00896741"/>
    <w:rsid w:val="00896D37"/>
    <w:rsid w:val="00897E35"/>
    <w:rsid w:val="008A198E"/>
    <w:rsid w:val="008A55D3"/>
    <w:rsid w:val="008A597C"/>
    <w:rsid w:val="008A6716"/>
    <w:rsid w:val="008A7862"/>
    <w:rsid w:val="008B0087"/>
    <w:rsid w:val="008B05DB"/>
    <w:rsid w:val="008B0DBF"/>
    <w:rsid w:val="008B19EE"/>
    <w:rsid w:val="008B1CB5"/>
    <w:rsid w:val="008B32CE"/>
    <w:rsid w:val="008B4C0F"/>
    <w:rsid w:val="008B5BFE"/>
    <w:rsid w:val="008B6C80"/>
    <w:rsid w:val="008C09B8"/>
    <w:rsid w:val="008C1D40"/>
    <w:rsid w:val="008C3CC5"/>
    <w:rsid w:val="008C3FF8"/>
    <w:rsid w:val="008C6133"/>
    <w:rsid w:val="008C63C2"/>
    <w:rsid w:val="008D012B"/>
    <w:rsid w:val="008D1A80"/>
    <w:rsid w:val="008D1C54"/>
    <w:rsid w:val="008D357D"/>
    <w:rsid w:val="008D4348"/>
    <w:rsid w:val="008D48C5"/>
    <w:rsid w:val="008D530D"/>
    <w:rsid w:val="008D5965"/>
    <w:rsid w:val="008D61F1"/>
    <w:rsid w:val="008D7EB4"/>
    <w:rsid w:val="008E0EF6"/>
    <w:rsid w:val="008E0F32"/>
    <w:rsid w:val="008E0F6D"/>
    <w:rsid w:val="008E17E4"/>
    <w:rsid w:val="008E2D46"/>
    <w:rsid w:val="008E3233"/>
    <w:rsid w:val="008E3B57"/>
    <w:rsid w:val="008E3DC1"/>
    <w:rsid w:val="008E3EC0"/>
    <w:rsid w:val="008E46E7"/>
    <w:rsid w:val="008E52E2"/>
    <w:rsid w:val="008F77A1"/>
    <w:rsid w:val="008F7D0A"/>
    <w:rsid w:val="0090067A"/>
    <w:rsid w:val="00902674"/>
    <w:rsid w:val="0090276A"/>
    <w:rsid w:val="00902D47"/>
    <w:rsid w:val="009067D4"/>
    <w:rsid w:val="009069CE"/>
    <w:rsid w:val="00906A85"/>
    <w:rsid w:val="00906BB0"/>
    <w:rsid w:val="00907547"/>
    <w:rsid w:val="0090799C"/>
    <w:rsid w:val="00911A70"/>
    <w:rsid w:val="00913509"/>
    <w:rsid w:val="00920759"/>
    <w:rsid w:val="0092352B"/>
    <w:rsid w:val="009242A8"/>
    <w:rsid w:val="009257CD"/>
    <w:rsid w:val="00925A65"/>
    <w:rsid w:val="00926C7C"/>
    <w:rsid w:val="0092748C"/>
    <w:rsid w:val="00927796"/>
    <w:rsid w:val="00930739"/>
    <w:rsid w:val="00930DE3"/>
    <w:rsid w:val="009313EF"/>
    <w:rsid w:val="009322B8"/>
    <w:rsid w:val="009322BB"/>
    <w:rsid w:val="009327C3"/>
    <w:rsid w:val="009338A9"/>
    <w:rsid w:val="009350AB"/>
    <w:rsid w:val="00935699"/>
    <w:rsid w:val="00937144"/>
    <w:rsid w:val="00937228"/>
    <w:rsid w:val="00937DA1"/>
    <w:rsid w:val="00942049"/>
    <w:rsid w:val="009439C7"/>
    <w:rsid w:val="00944905"/>
    <w:rsid w:val="00945A45"/>
    <w:rsid w:val="00946D9A"/>
    <w:rsid w:val="00951624"/>
    <w:rsid w:val="00951EB2"/>
    <w:rsid w:val="0095200C"/>
    <w:rsid w:val="0095201D"/>
    <w:rsid w:val="00952B2D"/>
    <w:rsid w:val="009531B7"/>
    <w:rsid w:val="009531C9"/>
    <w:rsid w:val="00953A86"/>
    <w:rsid w:val="00954A46"/>
    <w:rsid w:val="00954B9E"/>
    <w:rsid w:val="00956938"/>
    <w:rsid w:val="00963D58"/>
    <w:rsid w:val="009645DF"/>
    <w:rsid w:val="00964E91"/>
    <w:rsid w:val="009672B3"/>
    <w:rsid w:val="0097199C"/>
    <w:rsid w:val="009735F0"/>
    <w:rsid w:val="00973856"/>
    <w:rsid w:val="00973FAD"/>
    <w:rsid w:val="009758EC"/>
    <w:rsid w:val="00976B2C"/>
    <w:rsid w:val="00980D4B"/>
    <w:rsid w:val="00980D7A"/>
    <w:rsid w:val="0098191A"/>
    <w:rsid w:val="00981EAF"/>
    <w:rsid w:val="00983389"/>
    <w:rsid w:val="00983CC0"/>
    <w:rsid w:val="00985F90"/>
    <w:rsid w:val="0098670E"/>
    <w:rsid w:val="00987632"/>
    <w:rsid w:val="0098783C"/>
    <w:rsid w:val="00987EF2"/>
    <w:rsid w:val="009901AD"/>
    <w:rsid w:val="00990C17"/>
    <w:rsid w:val="00990C97"/>
    <w:rsid w:val="009913EE"/>
    <w:rsid w:val="009915B6"/>
    <w:rsid w:val="00992EBE"/>
    <w:rsid w:val="009951B3"/>
    <w:rsid w:val="009953E2"/>
    <w:rsid w:val="00995B97"/>
    <w:rsid w:val="009A04D6"/>
    <w:rsid w:val="009A055D"/>
    <w:rsid w:val="009A3743"/>
    <w:rsid w:val="009A4C24"/>
    <w:rsid w:val="009A658B"/>
    <w:rsid w:val="009A7607"/>
    <w:rsid w:val="009A78EE"/>
    <w:rsid w:val="009B32B0"/>
    <w:rsid w:val="009B4077"/>
    <w:rsid w:val="009B433A"/>
    <w:rsid w:val="009B4458"/>
    <w:rsid w:val="009B485A"/>
    <w:rsid w:val="009B4A7A"/>
    <w:rsid w:val="009B5339"/>
    <w:rsid w:val="009B5ABE"/>
    <w:rsid w:val="009C01AF"/>
    <w:rsid w:val="009C1747"/>
    <w:rsid w:val="009C3CCF"/>
    <w:rsid w:val="009C419F"/>
    <w:rsid w:val="009C5DD7"/>
    <w:rsid w:val="009C62C4"/>
    <w:rsid w:val="009C6475"/>
    <w:rsid w:val="009C7863"/>
    <w:rsid w:val="009C7FD0"/>
    <w:rsid w:val="009D052E"/>
    <w:rsid w:val="009D076F"/>
    <w:rsid w:val="009D181F"/>
    <w:rsid w:val="009D687F"/>
    <w:rsid w:val="009E0B93"/>
    <w:rsid w:val="009E20F3"/>
    <w:rsid w:val="009E42DF"/>
    <w:rsid w:val="009E4790"/>
    <w:rsid w:val="009E54A8"/>
    <w:rsid w:val="009E5A95"/>
    <w:rsid w:val="009E60EE"/>
    <w:rsid w:val="009E7C4E"/>
    <w:rsid w:val="009F038D"/>
    <w:rsid w:val="009F0562"/>
    <w:rsid w:val="009F1448"/>
    <w:rsid w:val="009F16EC"/>
    <w:rsid w:val="009F2A57"/>
    <w:rsid w:val="009F4B10"/>
    <w:rsid w:val="009F5E12"/>
    <w:rsid w:val="009F6128"/>
    <w:rsid w:val="009F6908"/>
    <w:rsid w:val="009F6D3C"/>
    <w:rsid w:val="009F6D77"/>
    <w:rsid w:val="00A00827"/>
    <w:rsid w:val="00A01A52"/>
    <w:rsid w:val="00A0222E"/>
    <w:rsid w:val="00A03626"/>
    <w:rsid w:val="00A04095"/>
    <w:rsid w:val="00A05B88"/>
    <w:rsid w:val="00A06EF1"/>
    <w:rsid w:val="00A07253"/>
    <w:rsid w:val="00A0797C"/>
    <w:rsid w:val="00A103B2"/>
    <w:rsid w:val="00A148B5"/>
    <w:rsid w:val="00A15958"/>
    <w:rsid w:val="00A20A57"/>
    <w:rsid w:val="00A21202"/>
    <w:rsid w:val="00A22015"/>
    <w:rsid w:val="00A245C5"/>
    <w:rsid w:val="00A261FC"/>
    <w:rsid w:val="00A26F51"/>
    <w:rsid w:val="00A270DB"/>
    <w:rsid w:val="00A27BB5"/>
    <w:rsid w:val="00A31FC4"/>
    <w:rsid w:val="00A324A5"/>
    <w:rsid w:val="00A3383B"/>
    <w:rsid w:val="00A33967"/>
    <w:rsid w:val="00A3412B"/>
    <w:rsid w:val="00A35BE6"/>
    <w:rsid w:val="00A36198"/>
    <w:rsid w:val="00A36728"/>
    <w:rsid w:val="00A369D4"/>
    <w:rsid w:val="00A4099D"/>
    <w:rsid w:val="00A40C5A"/>
    <w:rsid w:val="00A4171F"/>
    <w:rsid w:val="00A41EF7"/>
    <w:rsid w:val="00A437A3"/>
    <w:rsid w:val="00A43BB0"/>
    <w:rsid w:val="00A44539"/>
    <w:rsid w:val="00A44F7A"/>
    <w:rsid w:val="00A45602"/>
    <w:rsid w:val="00A45986"/>
    <w:rsid w:val="00A46ACF"/>
    <w:rsid w:val="00A51642"/>
    <w:rsid w:val="00A523EA"/>
    <w:rsid w:val="00A53561"/>
    <w:rsid w:val="00A53A4B"/>
    <w:rsid w:val="00A57190"/>
    <w:rsid w:val="00A577D4"/>
    <w:rsid w:val="00A615E8"/>
    <w:rsid w:val="00A61C41"/>
    <w:rsid w:val="00A62DC7"/>
    <w:rsid w:val="00A62EEB"/>
    <w:rsid w:val="00A63353"/>
    <w:rsid w:val="00A63D47"/>
    <w:rsid w:val="00A64205"/>
    <w:rsid w:val="00A6420D"/>
    <w:rsid w:val="00A65D20"/>
    <w:rsid w:val="00A65DD8"/>
    <w:rsid w:val="00A66589"/>
    <w:rsid w:val="00A67ABE"/>
    <w:rsid w:val="00A70428"/>
    <w:rsid w:val="00A71A91"/>
    <w:rsid w:val="00A7554F"/>
    <w:rsid w:val="00A7761E"/>
    <w:rsid w:val="00A814B9"/>
    <w:rsid w:val="00A8255F"/>
    <w:rsid w:val="00A82F38"/>
    <w:rsid w:val="00A84194"/>
    <w:rsid w:val="00A86B7B"/>
    <w:rsid w:val="00A86FB8"/>
    <w:rsid w:val="00A8703A"/>
    <w:rsid w:val="00A87946"/>
    <w:rsid w:val="00A87FDB"/>
    <w:rsid w:val="00A91384"/>
    <w:rsid w:val="00A91A85"/>
    <w:rsid w:val="00A93584"/>
    <w:rsid w:val="00A964A8"/>
    <w:rsid w:val="00A97238"/>
    <w:rsid w:val="00AA11C7"/>
    <w:rsid w:val="00AA20E1"/>
    <w:rsid w:val="00AA2618"/>
    <w:rsid w:val="00AA4896"/>
    <w:rsid w:val="00AA6436"/>
    <w:rsid w:val="00AA6880"/>
    <w:rsid w:val="00AA6F61"/>
    <w:rsid w:val="00AA7C60"/>
    <w:rsid w:val="00AB0EDF"/>
    <w:rsid w:val="00AB49A5"/>
    <w:rsid w:val="00AB5849"/>
    <w:rsid w:val="00AB783C"/>
    <w:rsid w:val="00AB7B46"/>
    <w:rsid w:val="00AC041E"/>
    <w:rsid w:val="00AC0940"/>
    <w:rsid w:val="00AC1BC4"/>
    <w:rsid w:val="00AC2DA9"/>
    <w:rsid w:val="00AC3456"/>
    <w:rsid w:val="00AC3E70"/>
    <w:rsid w:val="00AC4772"/>
    <w:rsid w:val="00AC48D1"/>
    <w:rsid w:val="00AC4C19"/>
    <w:rsid w:val="00AC4D3A"/>
    <w:rsid w:val="00AC51AD"/>
    <w:rsid w:val="00AC5D6E"/>
    <w:rsid w:val="00AC5EFB"/>
    <w:rsid w:val="00AC5F66"/>
    <w:rsid w:val="00AC6F64"/>
    <w:rsid w:val="00AC7556"/>
    <w:rsid w:val="00AC788F"/>
    <w:rsid w:val="00AC78A4"/>
    <w:rsid w:val="00AD1B43"/>
    <w:rsid w:val="00AD2D60"/>
    <w:rsid w:val="00AD6313"/>
    <w:rsid w:val="00AD7B15"/>
    <w:rsid w:val="00AE0BE5"/>
    <w:rsid w:val="00AE104F"/>
    <w:rsid w:val="00AE1584"/>
    <w:rsid w:val="00AE52C8"/>
    <w:rsid w:val="00AE7DA5"/>
    <w:rsid w:val="00AF035C"/>
    <w:rsid w:val="00AF0DB3"/>
    <w:rsid w:val="00AF1A70"/>
    <w:rsid w:val="00AF1D1C"/>
    <w:rsid w:val="00AF3021"/>
    <w:rsid w:val="00AF32BB"/>
    <w:rsid w:val="00AF353C"/>
    <w:rsid w:val="00AF7764"/>
    <w:rsid w:val="00AF793C"/>
    <w:rsid w:val="00B0243A"/>
    <w:rsid w:val="00B02949"/>
    <w:rsid w:val="00B02ED0"/>
    <w:rsid w:val="00B04107"/>
    <w:rsid w:val="00B0415E"/>
    <w:rsid w:val="00B043D5"/>
    <w:rsid w:val="00B0469B"/>
    <w:rsid w:val="00B050C6"/>
    <w:rsid w:val="00B058C2"/>
    <w:rsid w:val="00B06461"/>
    <w:rsid w:val="00B1199C"/>
    <w:rsid w:val="00B14B0C"/>
    <w:rsid w:val="00B14C85"/>
    <w:rsid w:val="00B152FB"/>
    <w:rsid w:val="00B160F2"/>
    <w:rsid w:val="00B17F2E"/>
    <w:rsid w:val="00B20266"/>
    <w:rsid w:val="00B204A2"/>
    <w:rsid w:val="00B22295"/>
    <w:rsid w:val="00B255B9"/>
    <w:rsid w:val="00B26D45"/>
    <w:rsid w:val="00B312D1"/>
    <w:rsid w:val="00B317B6"/>
    <w:rsid w:val="00B31CA4"/>
    <w:rsid w:val="00B326EB"/>
    <w:rsid w:val="00B32DDD"/>
    <w:rsid w:val="00B3385C"/>
    <w:rsid w:val="00B3571F"/>
    <w:rsid w:val="00B36B64"/>
    <w:rsid w:val="00B373D6"/>
    <w:rsid w:val="00B40146"/>
    <w:rsid w:val="00B40DCC"/>
    <w:rsid w:val="00B41698"/>
    <w:rsid w:val="00B428A1"/>
    <w:rsid w:val="00B4321F"/>
    <w:rsid w:val="00B4355D"/>
    <w:rsid w:val="00B45F0C"/>
    <w:rsid w:val="00B47BBF"/>
    <w:rsid w:val="00B47BDB"/>
    <w:rsid w:val="00B50AE8"/>
    <w:rsid w:val="00B53C1A"/>
    <w:rsid w:val="00B54415"/>
    <w:rsid w:val="00B566A6"/>
    <w:rsid w:val="00B56F59"/>
    <w:rsid w:val="00B60F4B"/>
    <w:rsid w:val="00B62151"/>
    <w:rsid w:val="00B65CD4"/>
    <w:rsid w:val="00B65D27"/>
    <w:rsid w:val="00B66CEF"/>
    <w:rsid w:val="00B67C83"/>
    <w:rsid w:val="00B70841"/>
    <w:rsid w:val="00B71078"/>
    <w:rsid w:val="00B7297F"/>
    <w:rsid w:val="00B74EF7"/>
    <w:rsid w:val="00B762BC"/>
    <w:rsid w:val="00B76F13"/>
    <w:rsid w:val="00B772B7"/>
    <w:rsid w:val="00B77A6C"/>
    <w:rsid w:val="00B806D8"/>
    <w:rsid w:val="00B82716"/>
    <w:rsid w:val="00B83608"/>
    <w:rsid w:val="00B83D51"/>
    <w:rsid w:val="00B874C9"/>
    <w:rsid w:val="00B875DF"/>
    <w:rsid w:val="00B87CC5"/>
    <w:rsid w:val="00B936FD"/>
    <w:rsid w:val="00B947A8"/>
    <w:rsid w:val="00B97431"/>
    <w:rsid w:val="00BA06CF"/>
    <w:rsid w:val="00BA14A4"/>
    <w:rsid w:val="00BA53EA"/>
    <w:rsid w:val="00BA589E"/>
    <w:rsid w:val="00BA62AF"/>
    <w:rsid w:val="00BA7061"/>
    <w:rsid w:val="00BB0676"/>
    <w:rsid w:val="00BB0C18"/>
    <w:rsid w:val="00BB4362"/>
    <w:rsid w:val="00BB4453"/>
    <w:rsid w:val="00BB4F9A"/>
    <w:rsid w:val="00BB6F86"/>
    <w:rsid w:val="00BB77A8"/>
    <w:rsid w:val="00BC380F"/>
    <w:rsid w:val="00BC3E51"/>
    <w:rsid w:val="00BC43FB"/>
    <w:rsid w:val="00BC4B2A"/>
    <w:rsid w:val="00BC7E6B"/>
    <w:rsid w:val="00BD27FD"/>
    <w:rsid w:val="00BD290D"/>
    <w:rsid w:val="00BD4B04"/>
    <w:rsid w:val="00BD5DD8"/>
    <w:rsid w:val="00BD7331"/>
    <w:rsid w:val="00BD7D73"/>
    <w:rsid w:val="00BE1812"/>
    <w:rsid w:val="00BE2760"/>
    <w:rsid w:val="00BE6A09"/>
    <w:rsid w:val="00BE77AE"/>
    <w:rsid w:val="00BF285B"/>
    <w:rsid w:val="00BF4FEE"/>
    <w:rsid w:val="00BF5570"/>
    <w:rsid w:val="00BF614D"/>
    <w:rsid w:val="00C00235"/>
    <w:rsid w:val="00C01F29"/>
    <w:rsid w:val="00C02137"/>
    <w:rsid w:val="00C02A91"/>
    <w:rsid w:val="00C0309E"/>
    <w:rsid w:val="00C06061"/>
    <w:rsid w:val="00C068C9"/>
    <w:rsid w:val="00C06E45"/>
    <w:rsid w:val="00C10630"/>
    <w:rsid w:val="00C10E5C"/>
    <w:rsid w:val="00C14872"/>
    <w:rsid w:val="00C14B8F"/>
    <w:rsid w:val="00C15503"/>
    <w:rsid w:val="00C15912"/>
    <w:rsid w:val="00C1621B"/>
    <w:rsid w:val="00C16C73"/>
    <w:rsid w:val="00C16D3A"/>
    <w:rsid w:val="00C20DDD"/>
    <w:rsid w:val="00C23C1C"/>
    <w:rsid w:val="00C279D6"/>
    <w:rsid w:val="00C30C5B"/>
    <w:rsid w:val="00C31C4F"/>
    <w:rsid w:val="00C34EDD"/>
    <w:rsid w:val="00C4052E"/>
    <w:rsid w:val="00C405A9"/>
    <w:rsid w:val="00C408B4"/>
    <w:rsid w:val="00C40DFF"/>
    <w:rsid w:val="00C4113A"/>
    <w:rsid w:val="00C4221A"/>
    <w:rsid w:val="00C43449"/>
    <w:rsid w:val="00C457F2"/>
    <w:rsid w:val="00C46258"/>
    <w:rsid w:val="00C46987"/>
    <w:rsid w:val="00C509C2"/>
    <w:rsid w:val="00C51756"/>
    <w:rsid w:val="00C52476"/>
    <w:rsid w:val="00C52AC1"/>
    <w:rsid w:val="00C52FD6"/>
    <w:rsid w:val="00C533CE"/>
    <w:rsid w:val="00C534D6"/>
    <w:rsid w:val="00C53C0C"/>
    <w:rsid w:val="00C57028"/>
    <w:rsid w:val="00C571ED"/>
    <w:rsid w:val="00C574EE"/>
    <w:rsid w:val="00C57BD1"/>
    <w:rsid w:val="00C57F9C"/>
    <w:rsid w:val="00C61DE0"/>
    <w:rsid w:val="00C67790"/>
    <w:rsid w:val="00C70C89"/>
    <w:rsid w:val="00C70EBE"/>
    <w:rsid w:val="00C7115F"/>
    <w:rsid w:val="00C75D38"/>
    <w:rsid w:val="00C77345"/>
    <w:rsid w:val="00C77CE9"/>
    <w:rsid w:val="00C8005A"/>
    <w:rsid w:val="00C815BD"/>
    <w:rsid w:val="00C81B0C"/>
    <w:rsid w:val="00C82051"/>
    <w:rsid w:val="00C82948"/>
    <w:rsid w:val="00C82F4A"/>
    <w:rsid w:val="00C84000"/>
    <w:rsid w:val="00C860F8"/>
    <w:rsid w:val="00C86C43"/>
    <w:rsid w:val="00C87B11"/>
    <w:rsid w:val="00C918ED"/>
    <w:rsid w:val="00C927C1"/>
    <w:rsid w:val="00C93A09"/>
    <w:rsid w:val="00C94F90"/>
    <w:rsid w:val="00C95198"/>
    <w:rsid w:val="00CA2CAE"/>
    <w:rsid w:val="00CA4F53"/>
    <w:rsid w:val="00CA560F"/>
    <w:rsid w:val="00CA6A0F"/>
    <w:rsid w:val="00CB01B6"/>
    <w:rsid w:val="00CB121C"/>
    <w:rsid w:val="00CB1E33"/>
    <w:rsid w:val="00CB2B61"/>
    <w:rsid w:val="00CB42F4"/>
    <w:rsid w:val="00CB488E"/>
    <w:rsid w:val="00CB695E"/>
    <w:rsid w:val="00CB73F3"/>
    <w:rsid w:val="00CB7FC5"/>
    <w:rsid w:val="00CC023C"/>
    <w:rsid w:val="00CC2301"/>
    <w:rsid w:val="00CC2907"/>
    <w:rsid w:val="00CC2A26"/>
    <w:rsid w:val="00CC4247"/>
    <w:rsid w:val="00CC5F36"/>
    <w:rsid w:val="00CC79E5"/>
    <w:rsid w:val="00CD028D"/>
    <w:rsid w:val="00CD092D"/>
    <w:rsid w:val="00CD0A27"/>
    <w:rsid w:val="00CD1E22"/>
    <w:rsid w:val="00CD3808"/>
    <w:rsid w:val="00CD3D4C"/>
    <w:rsid w:val="00CE11C2"/>
    <w:rsid w:val="00CE4D91"/>
    <w:rsid w:val="00CE729C"/>
    <w:rsid w:val="00CE7A8F"/>
    <w:rsid w:val="00CE7C92"/>
    <w:rsid w:val="00CE7E0E"/>
    <w:rsid w:val="00CF0343"/>
    <w:rsid w:val="00CF0BFF"/>
    <w:rsid w:val="00CF1C73"/>
    <w:rsid w:val="00CF2958"/>
    <w:rsid w:val="00CF2B9E"/>
    <w:rsid w:val="00CF3176"/>
    <w:rsid w:val="00CF3241"/>
    <w:rsid w:val="00CF34DC"/>
    <w:rsid w:val="00CF3687"/>
    <w:rsid w:val="00CF383F"/>
    <w:rsid w:val="00CF6843"/>
    <w:rsid w:val="00D00422"/>
    <w:rsid w:val="00D0294D"/>
    <w:rsid w:val="00D03B00"/>
    <w:rsid w:val="00D07F2D"/>
    <w:rsid w:val="00D104F1"/>
    <w:rsid w:val="00D10B3F"/>
    <w:rsid w:val="00D12313"/>
    <w:rsid w:val="00D13CBA"/>
    <w:rsid w:val="00D143BE"/>
    <w:rsid w:val="00D16BDA"/>
    <w:rsid w:val="00D175C7"/>
    <w:rsid w:val="00D177DE"/>
    <w:rsid w:val="00D21A68"/>
    <w:rsid w:val="00D21A76"/>
    <w:rsid w:val="00D255F8"/>
    <w:rsid w:val="00D25FFF"/>
    <w:rsid w:val="00D26879"/>
    <w:rsid w:val="00D32CC5"/>
    <w:rsid w:val="00D34515"/>
    <w:rsid w:val="00D35D02"/>
    <w:rsid w:val="00D36C0D"/>
    <w:rsid w:val="00D370BE"/>
    <w:rsid w:val="00D4158B"/>
    <w:rsid w:val="00D41809"/>
    <w:rsid w:val="00D4193A"/>
    <w:rsid w:val="00D432F8"/>
    <w:rsid w:val="00D45068"/>
    <w:rsid w:val="00D47E2B"/>
    <w:rsid w:val="00D503C9"/>
    <w:rsid w:val="00D505A2"/>
    <w:rsid w:val="00D50E0B"/>
    <w:rsid w:val="00D517E8"/>
    <w:rsid w:val="00D52CE8"/>
    <w:rsid w:val="00D53CF2"/>
    <w:rsid w:val="00D5487A"/>
    <w:rsid w:val="00D554DC"/>
    <w:rsid w:val="00D56C5F"/>
    <w:rsid w:val="00D5706D"/>
    <w:rsid w:val="00D60437"/>
    <w:rsid w:val="00D606BA"/>
    <w:rsid w:val="00D643B7"/>
    <w:rsid w:val="00D65A28"/>
    <w:rsid w:val="00D661D9"/>
    <w:rsid w:val="00D66A4F"/>
    <w:rsid w:val="00D679EA"/>
    <w:rsid w:val="00D67CA1"/>
    <w:rsid w:val="00D709B5"/>
    <w:rsid w:val="00D71F72"/>
    <w:rsid w:val="00D727EB"/>
    <w:rsid w:val="00D72DAE"/>
    <w:rsid w:val="00D7312E"/>
    <w:rsid w:val="00D732F3"/>
    <w:rsid w:val="00D74BA4"/>
    <w:rsid w:val="00D74C3A"/>
    <w:rsid w:val="00D759BC"/>
    <w:rsid w:val="00D75D9F"/>
    <w:rsid w:val="00D7725F"/>
    <w:rsid w:val="00D77679"/>
    <w:rsid w:val="00D7783D"/>
    <w:rsid w:val="00D825ED"/>
    <w:rsid w:val="00D84D3C"/>
    <w:rsid w:val="00D866D6"/>
    <w:rsid w:val="00D90C62"/>
    <w:rsid w:val="00D9149A"/>
    <w:rsid w:val="00D922D6"/>
    <w:rsid w:val="00D9270A"/>
    <w:rsid w:val="00D94924"/>
    <w:rsid w:val="00D94F8F"/>
    <w:rsid w:val="00D96D8C"/>
    <w:rsid w:val="00D976A7"/>
    <w:rsid w:val="00DA0DB7"/>
    <w:rsid w:val="00DA0DC0"/>
    <w:rsid w:val="00DA1DBD"/>
    <w:rsid w:val="00DA2572"/>
    <w:rsid w:val="00DA281B"/>
    <w:rsid w:val="00DA3217"/>
    <w:rsid w:val="00DA41DD"/>
    <w:rsid w:val="00DA4E48"/>
    <w:rsid w:val="00DA56E8"/>
    <w:rsid w:val="00DA6860"/>
    <w:rsid w:val="00DA7167"/>
    <w:rsid w:val="00DA76CE"/>
    <w:rsid w:val="00DB051A"/>
    <w:rsid w:val="00DB1767"/>
    <w:rsid w:val="00DB18FE"/>
    <w:rsid w:val="00DB5F2C"/>
    <w:rsid w:val="00DB5F5C"/>
    <w:rsid w:val="00DB601C"/>
    <w:rsid w:val="00DB7560"/>
    <w:rsid w:val="00DC0801"/>
    <w:rsid w:val="00DC0E0F"/>
    <w:rsid w:val="00DC2ED8"/>
    <w:rsid w:val="00DC32B3"/>
    <w:rsid w:val="00DC4C89"/>
    <w:rsid w:val="00DC53C3"/>
    <w:rsid w:val="00DC626C"/>
    <w:rsid w:val="00DC7AD2"/>
    <w:rsid w:val="00DD03A5"/>
    <w:rsid w:val="00DD1E87"/>
    <w:rsid w:val="00DD2A37"/>
    <w:rsid w:val="00DD354D"/>
    <w:rsid w:val="00DD4062"/>
    <w:rsid w:val="00DD45AB"/>
    <w:rsid w:val="00DD5742"/>
    <w:rsid w:val="00DD6118"/>
    <w:rsid w:val="00DD6277"/>
    <w:rsid w:val="00DE04FE"/>
    <w:rsid w:val="00DE124E"/>
    <w:rsid w:val="00DE4A27"/>
    <w:rsid w:val="00DE5E6F"/>
    <w:rsid w:val="00DE624E"/>
    <w:rsid w:val="00DF0C5E"/>
    <w:rsid w:val="00DF218D"/>
    <w:rsid w:val="00DF3C8B"/>
    <w:rsid w:val="00DF5402"/>
    <w:rsid w:val="00DF5DCE"/>
    <w:rsid w:val="00DF5ECF"/>
    <w:rsid w:val="00DF67D3"/>
    <w:rsid w:val="00DF6DC5"/>
    <w:rsid w:val="00E02B82"/>
    <w:rsid w:val="00E041DD"/>
    <w:rsid w:val="00E043F0"/>
    <w:rsid w:val="00E06715"/>
    <w:rsid w:val="00E103E4"/>
    <w:rsid w:val="00E10C2A"/>
    <w:rsid w:val="00E1140D"/>
    <w:rsid w:val="00E11880"/>
    <w:rsid w:val="00E13344"/>
    <w:rsid w:val="00E1384D"/>
    <w:rsid w:val="00E14EFB"/>
    <w:rsid w:val="00E163D0"/>
    <w:rsid w:val="00E2032A"/>
    <w:rsid w:val="00E209EA"/>
    <w:rsid w:val="00E22DA6"/>
    <w:rsid w:val="00E231AC"/>
    <w:rsid w:val="00E245B1"/>
    <w:rsid w:val="00E256D9"/>
    <w:rsid w:val="00E27167"/>
    <w:rsid w:val="00E27E7A"/>
    <w:rsid w:val="00E30454"/>
    <w:rsid w:val="00E3105D"/>
    <w:rsid w:val="00E34844"/>
    <w:rsid w:val="00E366E0"/>
    <w:rsid w:val="00E371C2"/>
    <w:rsid w:val="00E37CF1"/>
    <w:rsid w:val="00E40668"/>
    <w:rsid w:val="00E41066"/>
    <w:rsid w:val="00E44D94"/>
    <w:rsid w:val="00E466FE"/>
    <w:rsid w:val="00E473EA"/>
    <w:rsid w:val="00E51AA0"/>
    <w:rsid w:val="00E51C10"/>
    <w:rsid w:val="00E56E31"/>
    <w:rsid w:val="00E57564"/>
    <w:rsid w:val="00E63046"/>
    <w:rsid w:val="00E64571"/>
    <w:rsid w:val="00E652B7"/>
    <w:rsid w:val="00E703FB"/>
    <w:rsid w:val="00E70E87"/>
    <w:rsid w:val="00E71F38"/>
    <w:rsid w:val="00E7307B"/>
    <w:rsid w:val="00E749F1"/>
    <w:rsid w:val="00E75EE7"/>
    <w:rsid w:val="00E76814"/>
    <w:rsid w:val="00E76EE5"/>
    <w:rsid w:val="00E811CB"/>
    <w:rsid w:val="00E82327"/>
    <w:rsid w:val="00E83A85"/>
    <w:rsid w:val="00E84038"/>
    <w:rsid w:val="00E871B9"/>
    <w:rsid w:val="00E9156B"/>
    <w:rsid w:val="00E91620"/>
    <w:rsid w:val="00E9249A"/>
    <w:rsid w:val="00E92A6A"/>
    <w:rsid w:val="00E94388"/>
    <w:rsid w:val="00E94A12"/>
    <w:rsid w:val="00E94FA4"/>
    <w:rsid w:val="00E954D6"/>
    <w:rsid w:val="00E96F91"/>
    <w:rsid w:val="00E970A4"/>
    <w:rsid w:val="00EA1008"/>
    <w:rsid w:val="00EA2B73"/>
    <w:rsid w:val="00EA43D8"/>
    <w:rsid w:val="00EA49CE"/>
    <w:rsid w:val="00EA5D51"/>
    <w:rsid w:val="00EA6D31"/>
    <w:rsid w:val="00EA7B8D"/>
    <w:rsid w:val="00EA7D4C"/>
    <w:rsid w:val="00EB04A2"/>
    <w:rsid w:val="00EB0D8C"/>
    <w:rsid w:val="00EB2692"/>
    <w:rsid w:val="00EB2A7D"/>
    <w:rsid w:val="00EB383D"/>
    <w:rsid w:val="00EB3C81"/>
    <w:rsid w:val="00EB3E5C"/>
    <w:rsid w:val="00EB4048"/>
    <w:rsid w:val="00EB44BE"/>
    <w:rsid w:val="00EB5090"/>
    <w:rsid w:val="00EB6FB1"/>
    <w:rsid w:val="00EB7178"/>
    <w:rsid w:val="00EB767F"/>
    <w:rsid w:val="00EB7769"/>
    <w:rsid w:val="00EC0C45"/>
    <w:rsid w:val="00EC19B1"/>
    <w:rsid w:val="00EC3B60"/>
    <w:rsid w:val="00EC6254"/>
    <w:rsid w:val="00EC79E2"/>
    <w:rsid w:val="00ED0A91"/>
    <w:rsid w:val="00ED1AE8"/>
    <w:rsid w:val="00ED2409"/>
    <w:rsid w:val="00ED3CD7"/>
    <w:rsid w:val="00ED3F18"/>
    <w:rsid w:val="00ED47F3"/>
    <w:rsid w:val="00ED4823"/>
    <w:rsid w:val="00ED5217"/>
    <w:rsid w:val="00ED7642"/>
    <w:rsid w:val="00ED765C"/>
    <w:rsid w:val="00EE021D"/>
    <w:rsid w:val="00EE06B4"/>
    <w:rsid w:val="00EE1FA8"/>
    <w:rsid w:val="00EE47B7"/>
    <w:rsid w:val="00EE54A7"/>
    <w:rsid w:val="00EE556C"/>
    <w:rsid w:val="00EE6E03"/>
    <w:rsid w:val="00EF0307"/>
    <w:rsid w:val="00EF05E2"/>
    <w:rsid w:val="00EF4C54"/>
    <w:rsid w:val="00EF53AA"/>
    <w:rsid w:val="00EF56D9"/>
    <w:rsid w:val="00EF5EE9"/>
    <w:rsid w:val="00EF73E8"/>
    <w:rsid w:val="00F00206"/>
    <w:rsid w:val="00F00C2E"/>
    <w:rsid w:val="00F02001"/>
    <w:rsid w:val="00F03E2C"/>
    <w:rsid w:val="00F04195"/>
    <w:rsid w:val="00F05BC1"/>
    <w:rsid w:val="00F0678C"/>
    <w:rsid w:val="00F07C1A"/>
    <w:rsid w:val="00F07C8D"/>
    <w:rsid w:val="00F11605"/>
    <w:rsid w:val="00F12066"/>
    <w:rsid w:val="00F14846"/>
    <w:rsid w:val="00F15A6C"/>
    <w:rsid w:val="00F16482"/>
    <w:rsid w:val="00F17E12"/>
    <w:rsid w:val="00F202FC"/>
    <w:rsid w:val="00F20E2C"/>
    <w:rsid w:val="00F2187F"/>
    <w:rsid w:val="00F24E3E"/>
    <w:rsid w:val="00F25149"/>
    <w:rsid w:val="00F32DE3"/>
    <w:rsid w:val="00F33647"/>
    <w:rsid w:val="00F35DE0"/>
    <w:rsid w:val="00F36775"/>
    <w:rsid w:val="00F3731D"/>
    <w:rsid w:val="00F3776D"/>
    <w:rsid w:val="00F37CC6"/>
    <w:rsid w:val="00F37F84"/>
    <w:rsid w:val="00F427C7"/>
    <w:rsid w:val="00F42BD9"/>
    <w:rsid w:val="00F437F2"/>
    <w:rsid w:val="00F438CC"/>
    <w:rsid w:val="00F44B69"/>
    <w:rsid w:val="00F44C5E"/>
    <w:rsid w:val="00F47B2E"/>
    <w:rsid w:val="00F5040F"/>
    <w:rsid w:val="00F50AC6"/>
    <w:rsid w:val="00F51220"/>
    <w:rsid w:val="00F52895"/>
    <w:rsid w:val="00F53E9D"/>
    <w:rsid w:val="00F54570"/>
    <w:rsid w:val="00F55CF3"/>
    <w:rsid w:val="00F569E8"/>
    <w:rsid w:val="00F57287"/>
    <w:rsid w:val="00F572EA"/>
    <w:rsid w:val="00F57435"/>
    <w:rsid w:val="00F616B5"/>
    <w:rsid w:val="00F61E57"/>
    <w:rsid w:val="00F62CEC"/>
    <w:rsid w:val="00F635DA"/>
    <w:rsid w:val="00F64DAB"/>
    <w:rsid w:val="00F6510F"/>
    <w:rsid w:val="00F656DA"/>
    <w:rsid w:val="00F65B96"/>
    <w:rsid w:val="00F66526"/>
    <w:rsid w:val="00F67E1A"/>
    <w:rsid w:val="00F71B53"/>
    <w:rsid w:val="00F723AE"/>
    <w:rsid w:val="00F72DFB"/>
    <w:rsid w:val="00F72DFE"/>
    <w:rsid w:val="00F732E4"/>
    <w:rsid w:val="00F73DDA"/>
    <w:rsid w:val="00F77486"/>
    <w:rsid w:val="00F774C3"/>
    <w:rsid w:val="00F77A41"/>
    <w:rsid w:val="00F807E2"/>
    <w:rsid w:val="00F80BB8"/>
    <w:rsid w:val="00F85368"/>
    <w:rsid w:val="00F87D91"/>
    <w:rsid w:val="00F93AE4"/>
    <w:rsid w:val="00F94501"/>
    <w:rsid w:val="00F94AB7"/>
    <w:rsid w:val="00F95C60"/>
    <w:rsid w:val="00F95C6D"/>
    <w:rsid w:val="00F9634D"/>
    <w:rsid w:val="00F96738"/>
    <w:rsid w:val="00F969FA"/>
    <w:rsid w:val="00F96D9E"/>
    <w:rsid w:val="00FA09E4"/>
    <w:rsid w:val="00FA2571"/>
    <w:rsid w:val="00FA375D"/>
    <w:rsid w:val="00FA5CF5"/>
    <w:rsid w:val="00FA753E"/>
    <w:rsid w:val="00FA7B8F"/>
    <w:rsid w:val="00FB0068"/>
    <w:rsid w:val="00FB14CA"/>
    <w:rsid w:val="00FB2B12"/>
    <w:rsid w:val="00FB2E96"/>
    <w:rsid w:val="00FB5678"/>
    <w:rsid w:val="00FB7556"/>
    <w:rsid w:val="00FC0266"/>
    <w:rsid w:val="00FC076F"/>
    <w:rsid w:val="00FC19E1"/>
    <w:rsid w:val="00FC5886"/>
    <w:rsid w:val="00FC6E66"/>
    <w:rsid w:val="00FC7046"/>
    <w:rsid w:val="00FD0961"/>
    <w:rsid w:val="00FD0A9A"/>
    <w:rsid w:val="00FD0FF5"/>
    <w:rsid w:val="00FD3646"/>
    <w:rsid w:val="00FD3B38"/>
    <w:rsid w:val="00FD4AB8"/>
    <w:rsid w:val="00FD705B"/>
    <w:rsid w:val="00FE1D09"/>
    <w:rsid w:val="00FE53FC"/>
    <w:rsid w:val="00FE5866"/>
    <w:rsid w:val="00FE7003"/>
    <w:rsid w:val="00FE742A"/>
    <w:rsid w:val="00FE7B02"/>
    <w:rsid w:val="00FF0D9A"/>
    <w:rsid w:val="00FF14B3"/>
    <w:rsid w:val="00FF3521"/>
    <w:rsid w:val="00FF45FB"/>
    <w:rsid w:val="00FF4BEA"/>
    <w:rsid w:val="00FF5234"/>
    <w:rsid w:val="00FF680E"/>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16F76"/>
  <w15:docId w15:val="{D7EC022E-DE0A-4AD8-8124-E171E65A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19B1"/>
    <w:pPr>
      <w:tabs>
        <w:tab w:val="center" w:pos="4320"/>
        <w:tab w:val="right" w:pos="8640"/>
      </w:tabs>
    </w:pPr>
  </w:style>
  <w:style w:type="paragraph" w:customStyle="1" w:styleId="DefaultText">
    <w:name w:val="Default Text"/>
    <w:basedOn w:val="Normal"/>
    <w:rsid w:val="00EC19B1"/>
    <w:pPr>
      <w:spacing w:line="240" w:lineRule="atLeast"/>
    </w:pPr>
    <w:rPr>
      <w:szCs w:val="20"/>
    </w:rPr>
  </w:style>
  <w:style w:type="character" w:customStyle="1" w:styleId="InitialStyle">
    <w:name w:val="InitialStyle"/>
    <w:rsid w:val="00EC19B1"/>
    <w:rPr>
      <w:rFonts w:ascii="Courier" w:hAnsi="Courier" w:hint="default"/>
      <w:sz w:val="24"/>
    </w:rPr>
  </w:style>
  <w:style w:type="character" w:styleId="CommentReference">
    <w:name w:val="annotation reference"/>
    <w:semiHidden/>
    <w:rsid w:val="004A3FAB"/>
    <w:rPr>
      <w:sz w:val="16"/>
      <w:szCs w:val="16"/>
    </w:rPr>
  </w:style>
  <w:style w:type="paragraph" w:styleId="CommentText">
    <w:name w:val="annotation text"/>
    <w:basedOn w:val="Normal"/>
    <w:semiHidden/>
    <w:rsid w:val="004A3FAB"/>
    <w:rPr>
      <w:sz w:val="20"/>
      <w:szCs w:val="20"/>
    </w:rPr>
  </w:style>
  <w:style w:type="paragraph" w:styleId="CommentSubject">
    <w:name w:val="annotation subject"/>
    <w:basedOn w:val="CommentText"/>
    <w:next w:val="CommentText"/>
    <w:semiHidden/>
    <w:rsid w:val="004A3FAB"/>
    <w:rPr>
      <w:b/>
      <w:bCs/>
    </w:rPr>
  </w:style>
  <w:style w:type="paragraph" w:styleId="BalloonText">
    <w:name w:val="Balloon Text"/>
    <w:basedOn w:val="Normal"/>
    <w:semiHidden/>
    <w:rsid w:val="004A3FAB"/>
    <w:rPr>
      <w:rFonts w:ascii="Tahoma" w:hAnsi="Tahoma" w:cs="Tahoma"/>
      <w:sz w:val="16"/>
      <w:szCs w:val="16"/>
    </w:rPr>
  </w:style>
  <w:style w:type="paragraph" w:styleId="Footer">
    <w:name w:val="footer"/>
    <w:basedOn w:val="Normal"/>
    <w:link w:val="FooterChar"/>
    <w:rsid w:val="00DF3C8B"/>
    <w:pPr>
      <w:tabs>
        <w:tab w:val="center" w:pos="4680"/>
        <w:tab w:val="right" w:pos="9360"/>
      </w:tabs>
    </w:pPr>
  </w:style>
  <w:style w:type="character" w:customStyle="1" w:styleId="FooterChar">
    <w:name w:val="Footer Char"/>
    <w:link w:val="Footer"/>
    <w:rsid w:val="00DF3C8B"/>
    <w:rPr>
      <w:sz w:val="24"/>
      <w:szCs w:val="24"/>
    </w:rPr>
  </w:style>
  <w:style w:type="character" w:customStyle="1" w:styleId="HeaderChar">
    <w:name w:val="Header Char"/>
    <w:basedOn w:val="DefaultParagraphFont"/>
    <w:link w:val="Header"/>
    <w:uiPriority w:val="99"/>
    <w:rsid w:val="004429B1"/>
    <w:rPr>
      <w:sz w:val="24"/>
      <w:szCs w:val="24"/>
    </w:rPr>
  </w:style>
  <w:style w:type="paragraph" w:styleId="Revision">
    <w:name w:val="Revision"/>
    <w:hidden/>
    <w:uiPriority w:val="99"/>
    <w:semiHidden/>
    <w:rsid w:val="00822AFE"/>
    <w:rPr>
      <w:sz w:val="24"/>
      <w:szCs w:val="24"/>
    </w:rPr>
  </w:style>
  <w:style w:type="character" w:styleId="Hyperlink">
    <w:name w:val="Hyperlink"/>
    <w:basedOn w:val="DefaultParagraphFont"/>
    <w:unhideWhenUsed/>
    <w:rsid w:val="000570CF"/>
    <w:rPr>
      <w:color w:val="0000FF" w:themeColor="hyperlink"/>
      <w:u w:val="single"/>
    </w:rPr>
  </w:style>
  <w:style w:type="character" w:styleId="UnresolvedMention">
    <w:name w:val="Unresolved Mention"/>
    <w:basedOn w:val="DefaultParagraphFont"/>
    <w:uiPriority w:val="99"/>
    <w:semiHidden/>
    <w:unhideWhenUsed/>
    <w:rsid w:val="00057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57112">
      <w:bodyDiv w:val="1"/>
      <w:marLeft w:val="0"/>
      <w:marRight w:val="0"/>
      <w:marTop w:val="0"/>
      <w:marBottom w:val="0"/>
      <w:divBdr>
        <w:top w:val="none" w:sz="0" w:space="0" w:color="auto"/>
        <w:left w:val="none" w:sz="0" w:space="0" w:color="auto"/>
        <w:bottom w:val="none" w:sz="0" w:space="0" w:color="auto"/>
        <w:right w:val="none" w:sz="0" w:space="0" w:color="auto"/>
      </w:divBdr>
      <w:divsChild>
        <w:div w:id="312106082">
          <w:marLeft w:val="0"/>
          <w:marRight w:val="0"/>
          <w:marTop w:val="0"/>
          <w:marBottom w:val="0"/>
          <w:divBdr>
            <w:top w:val="none" w:sz="0" w:space="0" w:color="auto"/>
            <w:left w:val="none" w:sz="0" w:space="0" w:color="auto"/>
            <w:bottom w:val="single" w:sz="4" w:space="1" w:color="auto"/>
            <w:right w:val="none" w:sz="0" w:space="0" w:color="auto"/>
          </w:divBdr>
        </w:div>
        <w:div w:id="951593627">
          <w:marLeft w:val="0"/>
          <w:marRight w:val="0"/>
          <w:marTop w:val="0"/>
          <w:marBottom w:val="0"/>
          <w:divBdr>
            <w:top w:val="none" w:sz="0" w:space="0" w:color="auto"/>
            <w:left w:val="none" w:sz="0" w:space="0" w:color="auto"/>
            <w:bottom w:val="single" w:sz="4" w:space="1" w:color="auto"/>
            <w:right w:val="none" w:sz="0" w:space="0" w:color="auto"/>
          </w:divBdr>
        </w:div>
        <w:div w:id="1297444774">
          <w:marLeft w:val="0"/>
          <w:marRight w:val="0"/>
          <w:marTop w:val="0"/>
          <w:marBottom w:val="0"/>
          <w:divBdr>
            <w:top w:val="none" w:sz="0" w:space="0" w:color="auto"/>
            <w:left w:val="none" w:sz="0" w:space="0" w:color="auto"/>
            <w:bottom w:val="single" w:sz="4" w:space="1" w:color="auto"/>
            <w:right w:val="none" w:sz="0" w:space="0" w:color="auto"/>
          </w:divBdr>
        </w:div>
        <w:div w:id="1782407939">
          <w:marLeft w:val="0"/>
          <w:marRight w:val="0"/>
          <w:marTop w:val="0"/>
          <w:marBottom w:val="0"/>
          <w:divBdr>
            <w:top w:val="none" w:sz="0" w:space="0" w:color="auto"/>
            <w:left w:val="none" w:sz="0" w:space="0" w:color="auto"/>
            <w:bottom w:val="single" w:sz="4" w:space="1" w:color="auto"/>
            <w:right w:val="none" w:sz="0" w:space="0" w:color="auto"/>
          </w:divBdr>
        </w:div>
      </w:divsChild>
    </w:div>
    <w:div w:id="920722802">
      <w:bodyDiv w:val="1"/>
      <w:marLeft w:val="80"/>
      <w:marRight w:val="80"/>
      <w:marTop w:val="80"/>
      <w:marBottom w:val="80"/>
      <w:divBdr>
        <w:top w:val="none" w:sz="0" w:space="0" w:color="auto"/>
        <w:left w:val="none" w:sz="0" w:space="0" w:color="auto"/>
        <w:bottom w:val="none" w:sz="0" w:space="0" w:color="auto"/>
        <w:right w:val="none" w:sz="0" w:space="0" w:color="auto"/>
      </w:divBdr>
      <w:divsChild>
        <w:div w:id="657226989">
          <w:marLeft w:val="2880"/>
          <w:marRight w:val="0"/>
          <w:marTop w:val="160"/>
          <w:marBottom w:val="160"/>
          <w:divBdr>
            <w:top w:val="none" w:sz="0" w:space="0" w:color="auto"/>
            <w:left w:val="none" w:sz="0" w:space="0" w:color="auto"/>
            <w:bottom w:val="none" w:sz="0" w:space="0" w:color="auto"/>
            <w:right w:val="none" w:sz="0" w:space="0" w:color="auto"/>
          </w:divBdr>
          <w:divsChild>
            <w:div w:id="166793091">
              <w:marLeft w:val="0"/>
              <w:marRight w:val="0"/>
              <w:marTop w:val="60"/>
              <w:marBottom w:val="0"/>
              <w:divBdr>
                <w:top w:val="none" w:sz="0" w:space="0" w:color="auto"/>
                <w:left w:val="none" w:sz="0" w:space="0" w:color="auto"/>
                <w:bottom w:val="none" w:sz="0" w:space="0" w:color="auto"/>
                <w:right w:val="none" w:sz="0" w:space="0" w:color="auto"/>
              </w:divBdr>
              <w:divsChild>
                <w:div w:id="1349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A67F-7AFE-48ED-9261-1DDE4125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3444</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18</vt:lpstr>
    </vt:vector>
  </TitlesOfParts>
  <Company>State of Maine, DAFS</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State of Maine</dc:creator>
  <cp:lastModifiedBy>Parr, J.Chris</cp:lastModifiedBy>
  <cp:revision>2</cp:revision>
  <cp:lastPrinted>2023-12-04T13:12:00Z</cp:lastPrinted>
  <dcterms:created xsi:type="dcterms:W3CDTF">2024-04-22T20:06:00Z</dcterms:created>
  <dcterms:modified xsi:type="dcterms:W3CDTF">2024-04-22T20:06:00Z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ABAAVOAfoSrQoyxCB/AmhzO32GyxU6BbyVSV/bM/ZkU18M8wFYvrRLOkHP0qiSk/zO2V</vt:lpwstr>
  </property>
  <property fmtid="{D5CDD505-2E9C-101B-9397-08002B2CF9AE}" pid="3" name="MAIL_MSG_ID2">
    <vt:lpwstr>3bU/LE6qQFlvSaBnZDBTdO3vNDAbej9damSrDo07TJD7dl67uVzbZ4SJ/Y5_x000d_
C61iOn5zIuiJIOwy/lTp2RKGuVVfSK8yrlPCbv/9dphWfZ4g2Fj2+l0NUlo=</vt:lpwstr>
  </property>
  <property fmtid="{D5CDD505-2E9C-101B-9397-08002B2CF9AE}" pid="4" name="RESPONSE_SENDER_NAME">
    <vt:lpwstr>gAAAdya76B99d4hLGUR1rQ+8TxTv0GGEPdix</vt:lpwstr>
  </property>
  <property fmtid="{D5CDD505-2E9C-101B-9397-08002B2CF9AE}" pid="5" name="EMAIL_OWNER_ADDRESS">
    <vt:lpwstr>4AAAv2pPQheLA5U5aP+c3JSPv/Med/CUBS10c/E/CntvFWT2jJVZWokEkg==</vt:lpwstr>
  </property>
</Properties>
</file>